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 w:val="0"/>
        <w:spacing w:line="570" w:lineRule="exact"/>
        <w:ind w:left="0"/>
        <w:rPr>
          <w:rFonts w:hint="eastAsia" w:ascii="微软雅黑" w:hAnsi="微软雅黑" w:eastAsia="微软雅黑" w:cs="微软雅黑"/>
          <w:color w:val="auto"/>
          <w:lang w:val="en-US" w:eastAsia="zh-CN"/>
        </w:rPr>
      </w:pPr>
      <w:bookmarkStart w:id="0" w:name="_Toc222935574"/>
      <w:r>
        <w:rPr>
          <w:rFonts w:hint="eastAsia" w:ascii="微软雅黑" w:hAnsi="微软雅黑" w:eastAsia="微软雅黑" w:cs="微软雅黑"/>
          <w:color w:val="auto"/>
        </w:rPr>
        <w:t>附件3-</w:t>
      </w:r>
      <w:r>
        <w:rPr>
          <w:rFonts w:hint="eastAsia" w:ascii="微软雅黑" w:hAnsi="微软雅黑" w:eastAsia="微软雅黑" w:cs="微软雅黑"/>
          <w:color w:val="auto"/>
          <w:lang w:val="en-US" w:eastAsia="zh-CN"/>
        </w:rPr>
        <w:t>1</w:t>
      </w:r>
    </w:p>
    <w:p>
      <w:pPr>
        <w:autoSpaceDE w:val="0"/>
        <w:autoSpaceDN w:val="0"/>
        <w:spacing w:line="1000" w:lineRule="exact"/>
        <w:ind w:right="43"/>
        <w:jc w:val="center"/>
        <w:rPr>
          <w:rFonts w:hint="eastAsia" w:ascii="微软雅黑" w:hAnsi="微软雅黑" w:eastAsia="微软雅黑" w:cs="微软雅黑"/>
          <w:color w:val="auto"/>
          <w:spacing w:val="-23"/>
          <w:kern w:val="0"/>
          <w:sz w:val="66"/>
          <w:szCs w:val="66"/>
        </w:rPr>
      </w:pPr>
      <w:bookmarkStart w:id="1" w:name="OLE_LINK8"/>
    </w:p>
    <w:p>
      <w:pPr>
        <w:autoSpaceDE w:val="0"/>
        <w:autoSpaceDN w:val="0"/>
        <w:spacing w:line="1000" w:lineRule="exact"/>
        <w:ind w:right="43"/>
        <w:jc w:val="center"/>
        <w:rPr>
          <w:rFonts w:hint="eastAsia" w:ascii="微软雅黑" w:hAnsi="微软雅黑" w:eastAsia="微软雅黑" w:cs="微软雅黑"/>
          <w:color w:val="auto"/>
          <w:spacing w:val="-23"/>
          <w:kern w:val="0"/>
          <w:sz w:val="60"/>
          <w:szCs w:val="60"/>
        </w:rPr>
      </w:pPr>
      <w:r>
        <w:rPr>
          <w:rFonts w:hint="eastAsia" w:ascii="微软雅黑" w:hAnsi="微软雅黑" w:eastAsia="微软雅黑" w:cs="微软雅黑"/>
          <w:color w:val="auto"/>
          <w:spacing w:val="-23"/>
          <w:kern w:val="0"/>
          <w:sz w:val="60"/>
          <w:szCs w:val="60"/>
        </w:rPr>
        <w:t>2026年河北省</w:t>
      </w:r>
      <w:r>
        <w:rPr>
          <w:rFonts w:hint="eastAsia" w:ascii="微软雅黑" w:hAnsi="微软雅黑" w:eastAsia="微软雅黑" w:cs="微软雅黑"/>
          <w:color w:val="auto"/>
          <w:spacing w:val="-23"/>
          <w:kern w:val="0"/>
          <w:sz w:val="60"/>
          <w:szCs w:val="60"/>
          <w:lang w:val="en-US" w:eastAsia="zh-CN"/>
        </w:rPr>
        <w:t>学生</w:t>
      </w:r>
      <w:r>
        <w:rPr>
          <w:rFonts w:hint="eastAsia" w:ascii="微软雅黑" w:hAnsi="微软雅黑" w:eastAsia="微软雅黑" w:cs="微软雅黑"/>
          <w:color w:val="auto"/>
          <w:spacing w:val="-23"/>
          <w:kern w:val="0"/>
          <w:sz w:val="60"/>
          <w:szCs w:val="60"/>
        </w:rPr>
        <w:t>劳动技能竞赛</w:t>
      </w:r>
    </w:p>
    <w:bookmarkEnd w:id="1"/>
    <w:p>
      <w:pPr>
        <w:widowControl w:val="0"/>
        <w:kinsoku/>
        <w:autoSpaceDE w:val="0"/>
        <w:autoSpaceDN w:val="0"/>
        <w:adjustRightInd/>
        <w:snapToGrid/>
        <w:spacing w:line="1000" w:lineRule="exact"/>
        <w:ind w:left="0"/>
        <w:jc w:val="center"/>
        <w:rPr>
          <w:rFonts w:hint="eastAsia" w:ascii="微软雅黑" w:hAnsi="微软雅黑" w:eastAsia="微软雅黑" w:cs="微软雅黑"/>
          <w:color w:val="auto"/>
          <w:kern w:val="2"/>
          <w:sz w:val="52"/>
          <w:szCs w:val="24"/>
          <w:lang w:val="en-US" w:eastAsia="zh-CN" w:bidi="ar-SA"/>
        </w:rPr>
      </w:pPr>
      <w:r>
        <w:rPr>
          <w:rFonts w:hint="eastAsia" w:ascii="微软雅黑" w:hAnsi="微软雅黑" w:eastAsia="微软雅黑" w:cs="微软雅黑"/>
          <w:color w:val="auto"/>
          <w:kern w:val="2"/>
          <w:sz w:val="52"/>
          <w:szCs w:val="24"/>
          <w:lang w:val="en-US" w:eastAsia="zh-CN" w:bidi="ar-SA"/>
        </w:rPr>
        <w:t>（本科组）</w:t>
      </w:r>
    </w:p>
    <w:p>
      <w:pPr>
        <w:pageBreakBefore w:val="0"/>
        <w:widowControl w:val="0"/>
        <w:wordWrap/>
        <w:overflowPunct/>
        <w:topLinePunct w:val="0"/>
        <w:bidi w:val="0"/>
        <w:spacing w:before="33"/>
        <w:ind w:right="43"/>
        <w:jc w:val="center"/>
        <w:rPr>
          <w:rFonts w:hint="eastAsia" w:ascii="微软雅黑" w:hAnsi="微软雅黑" w:eastAsia="微软雅黑" w:cs="微软雅黑"/>
          <w:color w:val="auto"/>
          <w:sz w:val="52"/>
          <w:szCs w:val="52"/>
        </w:rPr>
      </w:pPr>
    </w:p>
    <w:p>
      <w:pPr>
        <w:widowControl w:val="0"/>
        <w:kinsoku/>
        <w:autoSpaceDE w:val="0"/>
        <w:autoSpaceDN w:val="0"/>
        <w:adjustRightInd/>
        <w:snapToGrid/>
        <w:spacing w:line="1000" w:lineRule="exact"/>
        <w:ind w:left="0" w:right="0"/>
        <w:jc w:val="center"/>
        <w:rPr>
          <w:rFonts w:hint="eastAsia" w:ascii="微软雅黑" w:hAnsi="微软雅黑" w:eastAsia="微软雅黑" w:cs="微软雅黑"/>
          <w:color w:val="auto"/>
          <w:kern w:val="2"/>
          <w:sz w:val="72"/>
          <w:szCs w:val="72"/>
          <w:lang w:val="en-US" w:eastAsia="zh-CN" w:bidi="ar-SA"/>
        </w:rPr>
      </w:pPr>
      <w:r>
        <w:rPr>
          <w:rFonts w:hint="eastAsia" w:ascii="微软雅黑" w:hAnsi="微软雅黑" w:eastAsia="微软雅黑" w:cs="微软雅黑"/>
          <w:color w:val="auto"/>
          <w:kern w:val="2"/>
          <w:sz w:val="72"/>
          <w:szCs w:val="72"/>
          <w:lang w:val="en-US" w:eastAsia="zh-CN" w:bidi="ar-SA"/>
        </w:rPr>
        <w:t>评</w:t>
      </w:r>
    </w:p>
    <w:p>
      <w:pPr>
        <w:widowControl w:val="0"/>
        <w:kinsoku/>
        <w:autoSpaceDE w:val="0"/>
        <w:autoSpaceDN w:val="0"/>
        <w:adjustRightInd/>
        <w:snapToGrid/>
        <w:spacing w:line="1000" w:lineRule="exact"/>
        <w:ind w:left="0" w:right="0"/>
        <w:jc w:val="center"/>
        <w:rPr>
          <w:rFonts w:hint="eastAsia" w:ascii="微软雅黑" w:hAnsi="微软雅黑" w:eastAsia="微软雅黑" w:cs="微软雅黑"/>
          <w:color w:val="auto"/>
          <w:kern w:val="2"/>
          <w:sz w:val="72"/>
          <w:szCs w:val="72"/>
          <w:lang w:val="en-US" w:eastAsia="zh-CN" w:bidi="ar-SA"/>
        </w:rPr>
      </w:pPr>
      <w:r>
        <w:rPr>
          <w:rFonts w:hint="eastAsia" w:ascii="微软雅黑" w:hAnsi="微软雅黑" w:eastAsia="微软雅黑" w:cs="微软雅黑"/>
          <w:color w:val="auto"/>
          <w:kern w:val="2"/>
          <w:sz w:val="72"/>
          <w:szCs w:val="72"/>
          <w:lang w:val="en-US" w:eastAsia="zh-CN" w:bidi="ar-SA"/>
        </w:rPr>
        <w:t>分</w:t>
      </w:r>
    </w:p>
    <w:p>
      <w:pPr>
        <w:widowControl w:val="0"/>
        <w:kinsoku/>
        <w:autoSpaceDE w:val="0"/>
        <w:autoSpaceDN w:val="0"/>
        <w:adjustRightInd/>
        <w:snapToGrid/>
        <w:spacing w:line="1000" w:lineRule="exact"/>
        <w:ind w:left="0" w:right="0"/>
        <w:jc w:val="center"/>
        <w:rPr>
          <w:rFonts w:hint="eastAsia" w:ascii="微软雅黑" w:hAnsi="微软雅黑" w:eastAsia="微软雅黑" w:cs="微软雅黑"/>
          <w:color w:val="auto"/>
          <w:kern w:val="2"/>
          <w:sz w:val="72"/>
          <w:szCs w:val="72"/>
          <w:lang w:val="en-US" w:eastAsia="zh-CN" w:bidi="ar-SA"/>
        </w:rPr>
      </w:pPr>
      <w:r>
        <w:rPr>
          <w:rFonts w:hint="eastAsia" w:ascii="微软雅黑" w:hAnsi="微软雅黑" w:eastAsia="微软雅黑" w:cs="微软雅黑"/>
          <w:color w:val="auto"/>
          <w:kern w:val="2"/>
          <w:sz w:val="72"/>
          <w:szCs w:val="72"/>
          <w:lang w:val="en-US" w:eastAsia="zh-CN" w:bidi="ar-SA"/>
        </w:rPr>
        <w:t>细</w:t>
      </w:r>
    </w:p>
    <w:p>
      <w:pPr>
        <w:widowControl w:val="0"/>
        <w:kinsoku/>
        <w:autoSpaceDE w:val="0"/>
        <w:autoSpaceDN w:val="0"/>
        <w:adjustRightInd/>
        <w:snapToGrid/>
        <w:spacing w:line="1000" w:lineRule="exact"/>
        <w:ind w:left="0" w:right="0"/>
        <w:jc w:val="center"/>
        <w:rPr>
          <w:rFonts w:hint="eastAsia" w:ascii="微软雅黑" w:hAnsi="微软雅黑" w:eastAsia="微软雅黑" w:cs="微软雅黑"/>
          <w:color w:val="auto"/>
          <w:kern w:val="2"/>
          <w:sz w:val="72"/>
          <w:szCs w:val="72"/>
          <w:lang w:val="en-US" w:eastAsia="zh-CN" w:bidi="ar-SA"/>
        </w:rPr>
      </w:pPr>
      <w:r>
        <w:rPr>
          <w:rFonts w:hint="eastAsia" w:ascii="微软雅黑" w:hAnsi="微软雅黑" w:eastAsia="微软雅黑" w:cs="微软雅黑"/>
          <w:color w:val="auto"/>
          <w:kern w:val="2"/>
          <w:sz w:val="72"/>
          <w:szCs w:val="72"/>
          <w:lang w:val="en-US" w:eastAsia="zh-CN" w:bidi="ar-SA"/>
        </w:rPr>
        <w:t>则</w:t>
      </w:r>
    </w:p>
    <w:p>
      <w:pPr>
        <w:pageBreakBefore w:val="0"/>
        <w:widowControl w:val="0"/>
        <w:wordWrap/>
        <w:overflowPunct/>
        <w:topLinePunct w:val="0"/>
        <w:bidi w:val="0"/>
        <w:spacing w:before="33"/>
        <w:ind w:right="43"/>
        <w:jc w:val="center"/>
        <w:rPr>
          <w:rFonts w:hint="eastAsia" w:ascii="微软雅黑" w:hAnsi="微软雅黑" w:eastAsia="微软雅黑" w:cs="微软雅黑"/>
          <w:color w:val="auto"/>
          <w:sz w:val="52"/>
          <w:szCs w:val="52"/>
        </w:rPr>
      </w:pPr>
    </w:p>
    <w:p>
      <w:pPr>
        <w:pStyle w:val="3"/>
        <w:pageBreakBefore w:val="0"/>
        <w:widowControl w:val="0"/>
        <w:wordWrap/>
        <w:overflowPunct/>
        <w:topLinePunct w:val="0"/>
        <w:bidi w:val="0"/>
        <w:rPr>
          <w:rFonts w:hint="eastAsia" w:ascii="微软雅黑" w:hAnsi="微软雅黑" w:eastAsia="微软雅黑" w:cs="微软雅黑"/>
          <w:color w:val="auto"/>
          <w:sz w:val="30"/>
          <w:szCs w:val="30"/>
        </w:rPr>
      </w:pPr>
    </w:p>
    <w:p>
      <w:pPr>
        <w:rPr>
          <w:rFonts w:hint="eastAsia" w:ascii="微软雅黑" w:hAnsi="微软雅黑" w:eastAsia="微软雅黑" w:cs="微软雅黑"/>
          <w:color w:val="auto"/>
          <w:sz w:val="30"/>
          <w:szCs w:val="30"/>
        </w:rPr>
      </w:pPr>
    </w:p>
    <w:p>
      <w:pPr>
        <w:rPr>
          <w:rFonts w:hint="eastAsia" w:ascii="微软雅黑" w:hAnsi="微软雅黑" w:eastAsia="微软雅黑" w:cs="微软雅黑"/>
          <w:color w:val="auto"/>
          <w:sz w:val="30"/>
          <w:szCs w:val="30"/>
        </w:rPr>
      </w:pPr>
    </w:p>
    <w:p>
      <w:pPr>
        <w:rPr>
          <w:rFonts w:hint="eastAsia" w:ascii="微软雅黑" w:hAnsi="微软雅黑" w:eastAsia="微软雅黑" w:cs="微软雅黑"/>
          <w:color w:val="auto"/>
          <w:sz w:val="30"/>
          <w:szCs w:val="30"/>
        </w:rPr>
      </w:pPr>
    </w:p>
    <w:p>
      <w:pPr>
        <w:rPr>
          <w:rFonts w:hint="eastAsia" w:ascii="微软雅黑" w:hAnsi="微软雅黑" w:eastAsia="微软雅黑" w:cs="微软雅黑"/>
          <w:color w:val="auto"/>
          <w:sz w:val="30"/>
          <w:szCs w:val="30"/>
        </w:rPr>
      </w:pPr>
    </w:p>
    <w:p>
      <w:pPr>
        <w:rPr>
          <w:rFonts w:hint="eastAsia" w:ascii="微软雅黑" w:hAnsi="微软雅黑" w:eastAsia="微软雅黑" w:cs="微软雅黑"/>
          <w:color w:val="auto"/>
          <w:sz w:val="30"/>
          <w:szCs w:val="30"/>
        </w:rPr>
      </w:pPr>
    </w:p>
    <w:p>
      <w:pPr>
        <w:widowControl w:val="0"/>
        <w:kinsoku/>
        <w:autoSpaceDE w:val="0"/>
        <w:autoSpaceDN w:val="0"/>
        <w:adjustRightInd/>
        <w:snapToGrid/>
        <w:ind w:right="57"/>
        <w:jc w:val="center"/>
        <w:outlineLvl w:val="1"/>
        <w:rPr>
          <w:rFonts w:hint="eastAsia" w:ascii="微软雅黑" w:hAnsi="微软雅黑" w:eastAsia="微软雅黑" w:cs="微软雅黑"/>
          <w:b/>
          <w:bCs/>
          <w:color w:val="auto"/>
          <w:kern w:val="2"/>
          <w:sz w:val="30"/>
          <w:szCs w:val="30"/>
          <w:lang w:val="en-US" w:eastAsia="zh-CN" w:bidi="ar-SA"/>
        </w:rPr>
      </w:pPr>
      <w:r>
        <w:rPr>
          <w:rFonts w:hint="eastAsia" w:ascii="微软雅黑" w:hAnsi="微软雅黑" w:eastAsia="微软雅黑" w:cs="微软雅黑"/>
          <w:b/>
          <w:bCs/>
          <w:color w:val="auto"/>
          <w:kern w:val="2"/>
          <w:sz w:val="30"/>
          <w:szCs w:val="30"/>
          <w:lang w:val="en-US" w:eastAsia="zh-CN" w:bidi="ar-SA"/>
        </w:rPr>
        <w:t>河北省学校劳动教育教学指导委员会编制</w:t>
      </w:r>
    </w:p>
    <w:p>
      <w:pPr>
        <w:widowControl w:val="0"/>
        <w:kinsoku/>
        <w:autoSpaceDE w:val="0"/>
        <w:autoSpaceDN w:val="0"/>
        <w:adjustRightInd/>
        <w:snapToGrid/>
        <w:ind w:right="57"/>
        <w:jc w:val="center"/>
        <w:outlineLvl w:val="1"/>
        <w:rPr>
          <w:rFonts w:hint="eastAsia" w:ascii="微软雅黑" w:hAnsi="微软雅黑" w:eastAsia="微软雅黑" w:cs="微软雅黑"/>
          <w:b/>
          <w:bCs/>
          <w:color w:val="auto"/>
          <w:kern w:val="2"/>
          <w:sz w:val="30"/>
          <w:szCs w:val="30"/>
          <w:lang w:val="en-US" w:eastAsia="zh-CN" w:bidi="ar-SA"/>
        </w:rPr>
      </w:pPr>
      <w:r>
        <w:rPr>
          <w:rFonts w:hint="eastAsia" w:ascii="微软雅黑" w:hAnsi="微软雅黑" w:eastAsia="微软雅黑" w:cs="微软雅黑"/>
          <w:b/>
          <w:bCs/>
          <w:color w:val="auto"/>
          <w:kern w:val="2"/>
          <w:sz w:val="30"/>
          <w:szCs w:val="30"/>
          <w:lang w:val="en-US" w:eastAsia="zh-CN" w:bidi="ar-SA"/>
        </w:rPr>
        <w:t>2026年3月</w:t>
      </w:r>
    </w:p>
    <w:p>
      <w:pPr>
        <w:widowControl w:val="0"/>
        <w:kinsoku/>
        <w:autoSpaceDE w:val="0"/>
        <w:autoSpaceDN w:val="0"/>
        <w:adjustRightInd/>
        <w:snapToGrid/>
        <w:ind w:right="57"/>
        <w:jc w:val="center"/>
        <w:outlineLvl w:val="1"/>
        <w:rPr>
          <w:rFonts w:hint="eastAsia" w:ascii="微软雅黑" w:hAnsi="微软雅黑" w:eastAsia="微软雅黑" w:cs="微软雅黑"/>
          <w:b/>
          <w:bCs/>
          <w:color w:val="auto"/>
          <w:kern w:val="2"/>
          <w:sz w:val="30"/>
          <w:szCs w:val="30"/>
          <w:lang w:val="en-US" w:eastAsia="zh-CN" w:bidi="ar-SA"/>
        </w:rPr>
        <w:sectPr>
          <w:footerReference r:id="rId3" w:type="default"/>
          <w:pgSz w:w="11906" w:h="16838"/>
          <w:pgMar w:top="1440" w:right="1474" w:bottom="1440" w:left="1587" w:header="851" w:footer="992" w:gutter="0"/>
          <w:pgNumType w:fmt="numberInDash"/>
          <w:cols w:space="425" w:num="1"/>
          <w:docGrid w:type="lines" w:linePitch="312" w:charSpace="0"/>
        </w:sectPr>
      </w:pPr>
    </w:p>
    <w:p>
      <w:pPr>
        <w:pStyle w:val="19"/>
        <w:pageBreakBefore w:val="0"/>
        <w:widowControl w:val="0"/>
        <w:wordWrap/>
        <w:overflowPunct/>
        <w:topLinePunct w:val="0"/>
        <w:bidi w:val="0"/>
        <w:jc w:val="center"/>
        <w:rPr>
          <w:rFonts w:hint="eastAsia" w:ascii="微软雅黑" w:hAnsi="微软雅黑" w:eastAsia="微软雅黑" w:cs="微软雅黑"/>
          <w:color w:val="auto"/>
          <w:sz w:val="44"/>
          <w:szCs w:val="44"/>
        </w:rPr>
      </w:pPr>
      <w:r>
        <w:rPr>
          <w:rFonts w:hint="eastAsia" w:ascii="微软雅黑" w:hAnsi="微软雅黑" w:eastAsia="微软雅黑" w:cs="微软雅黑"/>
          <w:b w:val="0"/>
          <w:bCs w:val="0"/>
          <w:color w:val="auto"/>
          <w:kern w:val="2"/>
          <w:sz w:val="44"/>
          <w:szCs w:val="44"/>
          <w:lang w:val="zh-CN" w:eastAsia="zh-CN" w:bidi="ar-SA"/>
        </w:rPr>
        <w:t>目</w:t>
      </w:r>
      <w:r>
        <w:rPr>
          <w:rFonts w:hint="eastAsia" w:ascii="微软雅黑" w:hAnsi="微软雅黑" w:eastAsia="微软雅黑" w:cs="微软雅黑"/>
          <w:b w:val="0"/>
          <w:bCs w:val="0"/>
          <w:color w:val="auto"/>
          <w:kern w:val="2"/>
          <w:sz w:val="44"/>
          <w:szCs w:val="44"/>
          <w:lang w:val="en-US" w:eastAsia="zh-CN" w:bidi="ar-SA"/>
        </w:rPr>
        <w:t xml:space="preserve"> </w:t>
      </w:r>
      <w:r>
        <w:rPr>
          <w:rFonts w:hint="eastAsia" w:ascii="微软雅黑" w:hAnsi="微软雅黑" w:eastAsia="微软雅黑" w:cs="微软雅黑"/>
          <w:b w:val="0"/>
          <w:bCs w:val="0"/>
          <w:color w:val="auto"/>
          <w:kern w:val="2"/>
          <w:sz w:val="44"/>
          <w:szCs w:val="44"/>
          <w:lang w:val="zh-CN" w:eastAsia="zh-CN" w:bidi="ar-SA"/>
        </w:rPr>
        <w:t>录</w:t>
      </w:r>
    </w:p>
    <w:p>
      <w:pPr>
        <w:pStyle w:val="10"/>
        <w:pageBreakBefore w:val="0"/>
        <w:widowControl w:val="0"/>
        <w:wordWrap/>
        <w:overflowPunct/>
        <w:topLinePunct w:val="0"/>
        <w:bidi w:val="0"/>
        <w:rPr>
          <w:rFonts w:hint="eastAsia" w:cs="宋体"/>
          <w:color w:val="auto"/>
          <w:kern w:val="2"/>
          <w14:ligatures w14:val="none"/>
        </w:rPr>
      </w:pPr>
      <w:r>
        <w:rPr>
          <w:rFonts w:ascii="仿宋" w:hAnsi="仿宋"/>
          <w:color w:val="auto"/>
        </w:rPr>
        <w:fldChar w:fldCharType="begin"/>
      </w:r>
      <w:r>
        <w:rPr>
          <w:color w:val="auto"/>
        </w:rPr>
        <w:instrText xml:space="preserve"> TOC \o "1-3" \h \z \u </w:instrText>
      </w:r>
      <w:r>
        <w:rPr>
          <w:rFonts w:ascii="仿宋" w:hAnsi="仿宋"/>
          <w:color w:val="auto"/>
        </w:rPr>
        <w:fldChar w:fldCharType="separate"/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13" w:beforeLines="100" w:after="313" w:afterLines="100"/>
        <w:jc w:val="distribute"/>
        <w:textAlignment w:val="auto"/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</w:pPr>
      <w:r>
        <w:rPr>
          <w:rFonts w:hint="eastAsia" w:ascii="微软雅黑" w:hAnsi="微软雅黑" w:eastAsia="微软雅黑" w:cs="微软雅黑"/>
          <w:color w:val="auto"/>
          <w:sz w:val="30"/>
          <w:szCs w:val="30"/>
        </w:rPr>
        <w:t>1.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  <w:t>“‘救’在身边”——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</w:rPr>
        <w:t>紧急救护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  <w:t>项目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</w:rPr>
        <w:t>………………………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13" w:beforeLines="100" w:after="313" w:afterLines="100"/>
        <w:jc w:val="distribute"/>
        <w:textAlignment w:val="auto"/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</w:pPr>
      <w:r>
        <w:rPr>
          <w:rFonts w:hint="eastAsia" w:ascii="微软雅黑" w:hAnsi="微软雅黑" w:eastAsia="微软雅黑" w:cs="微软雅黑"/>
          <w:color w:val="auto"/>
          <w:sz w:val="30"/>
          <w:szCs w:val="30"/>
        </w:rPr>
        <w:t>2.“健康‘食’光”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  <w:lang w:eastAsia="zh-CN"/>
        </w:rPr>
        <w:t>——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</w:rPr>
        <w:t>养生烹饪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  <w:t>项目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</w:rPr>
        <w:t>………………………………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  <w:t>8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313" w:beforeLines="100" w:after="313" w:afterLines="100"/>
        <w:jc w:val="distribute"/>
        <w:textAlignment w:val="auto"/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</w:pPr>
      <w:r>
        <w:rPr>
          <w:rFonts w:hint="eastAsia" w:ascii="微软雅黑" w:hAnsi="微软雅黑" w:eastAsia="微软雅黑" w:cs="微软雅黑"/>
          <w:color w:val="auto"/>
          <w:sz w:val="30"/>
          <w:szCs w:val="30"/>
        </w:rPr>
        <w:t>3.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  <w:t xml:space="preserve"> 智“绘”思政——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</w:rPr>
        <w:t>AI赋能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  <w:t>思政资源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</w:rPr>
        <w:t>创作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  <w:t>项目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</w:rPr>
        <w:t>……………………1</w:t>
      </w:r>
      <w:r>
        <w:rPr>
          <w:rFonts w:hint="eastAsia" w:ascii="微软雅黑" w:hAnsi="微软雅黑" w:eastAsia="微软雅黑" w:cs="微软雅黑"/>
          <w:color w:val="auto"/>
          <w:sz w:val="30"/>
          <w:szCs w:val="30"/>
          <w:lang w:val="en-US" w:eastAsia="zh-CN"/>
        </w:rPr>
        <w:t>4</w:t>
      </w:r>
    </w:p>
    <w:p>
      <w:pPr>
        <w:pageBreakBefore w:val="0"/>
        <w:widowControl w:val="0"/>
        <w:wordWrap/>
        <w:overflowPunct/>
        <w:topLinePunct w:val="0"/>
        <w:bidi w:val="0"/>
        <w:jc w:val="both"/>
        <w:rPr>
          <w:rFonts w:hint="eastAsia" w:ascii="宋体" w:hAnsi="宋体" w:eastAsia="宋体" w:cs="宋体"/>
          <w:color w:val="auto"/>
          <w:kern w:val="2"/>
          <w:sz w:val="24"/>
          <w:szCs w:val="24"/>
          <w:lang w:val="en-US" w:eastAsia="zh-CN"/>
          <w14:ligatures w14:val="none"/>
        </w:rPr>
      </w:pPr>
    </w:p>
    <w:p>
      <w:pPr>
        <w:pageBreakBefore w:val="0"/>
        <w:widowControl w:val="0"/>
        <w:wordWrap/>
        <w:overflowPunct/>
        <w:topLinePunct w:val="0"/>
        <w:bidi w:val="0"/>
        <w:rPr>
          <w:rFonts w:hint="eastAsia" w:ascii="宋体" w:hAnsi="宋体" w:eastAsia="宋体" w:cs="宋体"/>
          <w:color w:val="auto"/>
          <w:kern w:val="2"/>
          <w:sz w:val="24"/>
          <w:szCs w:val="24"/>
          <w:lang w:val="en-US" w:eastAsia="zh-CN"/>
          <w14:ligatures w14:val="none"/>
        </w:rPr>
      </w:pPr>
    </w:p>
    <w:p>
      <w:pPr>
        <w:rPr>
          <w:rFonts w:hint="eastAsia"/>
          <w:lang w:val="en-US" w:eastAsia="zh-CN"/>
        </w:rPr>
      </w:pPr>
    </w:p>
    <w:p>
      <w:pPr>
        <w:pageBreakBefore w:val="0"/>
        <w:widowControl w:val="0"/>
        <w:wordWrap/>
        <w:overflowPunct/>
        <w:topLinePunct w:val="0"/>
        <w:bidi w:val="0"/>
        <w:rPr>
          <w:rFonts w:hint="eastAsia" w:ascii="宋体" w:hAnsi="宋体" w:eastAsia="宋体" w:cs="宋体"/>
          <w:color w:val="auto"/>
          <w:kern w:val="2"/>
          <w:sz w:val="24"/>
          <w:szCs w:val="24"/>
          <w:lang w:val="en-US" w:eastAsia="zh-CN"/>
          <w14:ligatures w14:val="none"/>
        </w:rPr>
      </w:pPr>
    </w:p>
    <w:p>
      <w:pPr>
        <w:pageBreakBefore w:val="0"/>
        <w:widowControl w:val="0"/>
        <w:wordWrap/>
        <w:overflowPunct/>
        <w:topLinePunct w:val="0"/>
        <w:bidi w:val="0"/>
        <w:rPr>
          <w:rFonts w:hint="eastAsia" w:ascii="宋体" w:hAnsi="宋体" w:eastAsia="宋体" w:cs="宋体"/>
          <w:color w:val="auto"/>
          <w:kern w:val="2"/>
          <w:sz w:val="24"/>
          <w:szCs w:val="24"/>
          <w:lang w:val="en-US" w:eastAsia="zh-CN"/>
          <w14:ligatures w14:val="none"/>
        </w:rPr>
      </w:pPr>
    </w:p>
    <w:p>
      <w:pPr>
        <w:pStyle w:val="11"/>
        <w:pageBreakBefore w:val="0"/>
        <w:widowControl w:val="0"/>
        <w:tabs>
          <w:tab w:val="right" w:leader="dot" w:pos="8296"/>
        </w:tabs>
        <w:wordWrap/>
        <w:overflowPunct/>
        <w:topLinePunct w:val="0"/>
        <w:bidi w:val="0"/>
        <w:rPr>
          <w:rFonts w:ascii="Calibri" w:hAnsi="Calibri" w:cs="宋体"/>
          <w:color w:val="auto"/>
          <w:kern w:val="2"/>
          <w:sz w:val="24"/>
          <w:szCs w:val="24"/>
          <w14:ligatures w14:val="none"/>
        </w:rPr>
      </w:pPr>
    </w:p>
    <w:p>
      <w:pPr>
        <w:pageBreakBefore w:val="0"/>
        <w:widowControl w:val="0"/>
        <w:wordWrap/>
        <w:overflowPunct/>
        <w:topLinePunct w:val="0"/>
        <w:bidi w:val="0"/>
        <w:rPr>
          <w:rFonts w:ascii="Calibri" w:hAnsi="Calibri" w:eastAsia="仿宋"/>
          <w:color w:val="auto"/>
        </w:rPr>
      </w:pPr>
      <w:r>
        <w:rPr>
          <w:rFonts w:ascii="Calibri" w:hAnsi="Calibri" w:eastAsia="仿宋"/>
          <w:color w:val="auto"/>
          <w:sz w:val="28"/>
          <w:szCs w:val="28"/>
          <w:lang w:val="zh-CN"/>
        </w:rPr>
        <w:fldChar w:fldCharType="end"/>
      </w:r>
    </w:p>
    <w:p>
      <w:pPr>
        <w:pStyle w:val="18"/>
        <w:pageBreakBefore w:val="0"/>
        <w:widowControl w:val="0"/>
        <w:wordWrap/>
        <w:overflowPunct/>
        <w:topLinePunct w:val="0"/>
        <w:bidi w:val="0"/>
        <w:rPr>
          <w:rFonts w:hint="eastAsia"/>
          <w:color w:val="auto"/>
        </w:rPr>
      </w:pPr>
    </w:p>
    <w:p>
      <w:pPr>
        <w:pStyle w:val="18"/>
        <w:pageBreakBefore w:val="0"/>
        <w:widowControl w:val="0"/>
        <w:wordWrap/>
        <w:overflowPunct/>
        <w:topLinePunct w:val="0"/>
        <w:bidi w:val="0"/>
        <w:rPr>
          <w:rFonts w:hint="eastAsia"/>
          <w:color w:val="auto"/>
        </w:rPr>
      </w:pPr>
    </w:p>
    <w:p>
      <w:pPr>
        <w:pStyle w:val="18"/>
        <w:pageBreakBefore w:val="0"/>
        <w:widowControl w:val="0"/>
        <w:wordWrap/>
        <w:overflowPunct/>
        <w:topLinePunct w:val="0"/>
        <w:bidi w:val="0"/>
        <w:rPr>
          <w:rFonts w:hint="eastAsia"/>
          <w:color w:val="auto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widowControl/>
        <w:kinsoku w:val="0"/>
        <w:autoSpaceDE/>
        <w:autoSpaceDN/>
        <w:adjustRightInd w:val="0"/>
        <w:snapToGrid w:val="0"/>
        <w:spacing w:line="520" w:lineRule="exact"/>
        <w:jc w:val="center"/>
        <w:textAlignment w:val="baseline"/>
        <w:rPr>
          <w:rFonts w:hint="eastAsia" w:ascii="微软雅黑" w:hAnsi="微软雅黑" w:eastAsia="微软雅黑" w:cs="微软雅黑"/>
          <w:snapToGrid w:val="0"/>
          <w:color w:val="auto"/>
          <w:spacing w:val="6"/>
          <w:kern w:val="2"/>
          <w:sz w:val="40"/>
          <w:szCs w:val="40"/>
        </w:rPr>
        <w:sectPr>
          <w:footerReference r:id="rId4" w:type="default"/>
          <w:pgSz w:w="11906" w:h="16838"/>
          <w:pgMar w:top="1361" w:right="1474" w:bottom="1361" w:left="1587" w:header="851" w:footer="992" w:gutter="0"/>
          <w:pgNumType w:fmt="numberInDash" w:start="1"/>
          <w:cols w:space="425" w:num="1"/>
          <w:docGrid w:type="lines" w:linePitch="312" w:charSpace="0"/>
        </w:sectPr>
      </w:pPr>
    </w:p>
    <w:p>
      <w:pPr>
        <w:widowControl/>
        <w:kinsoku w:val="0"/>
        <w:autoSpaceDE/>
        <w:autoSpaceDN/>
        <w:adjustRightInd w:val="0"/>
        <w:snapToGrid w:val="0"/>
        <w:spacing w:line="520" w:lineRule="exact"/>
        <w:jc w:val="center"/>
        <w:textAlignment w:val="baseline"/>
        <w:rPr>
          <w:rFonts w:hint="eastAsia" w:ascii="微软雅黑" w:hAnsi="微软雅黑" w:eastAsia="微软雅黑" w:cs="微软雅黑"/>
          <w:snapToGrid w:val="0"/>
          <w:color w:val="auto"/>
          <w:spacing w:val="6"/>
          <w:kern w:val="2"/>
          <w:sz w:val="40"/>
          <w:szCs w:val="40"/>
          <w:lang w:eastAsia="zh-CN"/>
        </w:rPr>
      </w:pPr>
      <w:r>
        <w:rPr>
          <w:rFonts w:hint="eastAsia" w:ascii="微软雅黑" w:hAnsi="微软雅黑" w:eastAsia="微软雅黑" w:cs="微软雅黑"/>
          <w:snapToGrid w:val="0"/>
          <w:color w:val="auto"/>
          <w:spacing w:val="6"/>
          <w:kern w:val="2"/>
          <w:sz w:val="40"/>
          <w:szCs w:val="40"/>
          <w:lang w:val="en-US" w:eastAsia="zh-CN"/>
        </w:rPr>
        <w:t>“‘救’在身边”——</w:t>
      </w:r>
      <w:r>
        <w:rPr>
          <w:rFonts w:hint="eastAsia" w:ascii="微软雅黑" w:hAnsi="微软雅黑" w:eastAsia="微软雅黑" w:cs="微软雅黑"/>
          <w:snapToGrid w:val="0"/>
          <w:color w:val="auto"/>
          <w:spacing w:val="6"/>
          <w:kern w:val="2"/>
          <w:sz w:val="40"/>
          <w:szCs w:val="40"/>
        </w:rPr>
        <w:t>紧急救护</w:t>
      </w:r>
      <w:bookmarkEnd w:id="0"/>
      <w:r>
        <w:rPr>
          <w:rFonts w:hint="eastAsia" w:ascii="微软雅黑" w:hAnsi="微软雅黑" w:eastAsia="微软雅黑" w:cs="微软雅黑"/>
          <w:snapToGrid w:val="0"/>
          <w:color w:val="auto"/>
          <w:spacing w:val="6"/>
          <w:kern w:val="2"/>
          <w:sz w:val="40"/>
          <w:szCs w:val="40"/>
          <w:lang w:val="en-US" w:eastAsia="zh-CN"/>
        </w:rPr>
        <w:t>项目</w:t>
      </w:r>
    </w:p>
    <w:p>
      <w:pPr>
        <w:widowControl/>
        <w:kinsoku w:val="0"/>
        <w:autoSpaceDE/>
        <w:autoSpaceDN/>
        <w:adjustRightInd w:val="0"/>
        <w:snapToGrid w:val="0"/>
        <w:spacing w:line="520" w:lineRule="exact"/>
        <w:jc w:val="center"/>
        <w:textAlignment w:val="baseline"/>
        <w:rPr>
          <w:rFonts w:hint="eastAsia" w:ascii="微软雅黑" w:hAnsi="微软雅黑" w:eastAsia="微软雅黑" w:cs="微软雅黑"/>
          <w:snapToGrid w:val="0"/>
          <w:color w:val="auto"/>
          <w:spacing w:val="6"/>
          <w:kern w:val="2"/>
          <w:sz w:val="40"/>
          <w:szCs w:val="40"/>
        </w:rPr>
      </w:pPr>
    </w:p>
    <w:p>
      <w:pPr>
        <w:spacing w:line="520" w:lineRule="exact"/>
        <w:ind w:firstLine="560" w:firstLineChars="200"/>
        <w:jc w:val="both"/>
        <w:rPr>
          <w:rFonts w:hint="eastAsia" w:ascii="黑体" w:hAnsi="黑体" w:eastAsia="黑体" w:cs="黑体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一、比赛目标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1.通过复合伤救护、心肺复苏等项目竞赛，掌握紧急救护核心技能，提升校园及日常场景应急处置能力。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2.规范创伤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救护（止血、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包扎、骨折固定、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搬运）及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心肺复苏等操作流程，培养科学施救、严谨细致的实操态度。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3.在团队协同完成救护任务中，增强分工配合意识，提升团队协作与应急反应的综合素养。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4.以竞赛为契机，强化“生命至上”的理念，推动急救技能在生活、社会实践中的实际应用。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二、比赛方式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1.参赛人员：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本科组，3名选手，男女搭配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2.比赛形式：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团队比赛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3.比赛时长：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分钟（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止血、包扎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与固定7分钟、担架搬运3分钟、心肺复苏5个循环3分钟，无额外整理时间）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4.比赛内容：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按要求完成复合伤伤员创伤救护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之止血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、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包扎、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固定→担架安全搬运→心脏骤停患者双人心肺复苏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含AED使用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全流程操作，模拟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爬山伤员摔伤后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“头部外伤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出血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、单侧胸部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外伤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、左小腿闭合性骨折”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现场处理后搬运至游客中心，等待120时突发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心搏骤停场景，全程规范操作并口述关键步骤。完成后向裁判报告“操作完毕”，报告后禁止继续操作，否则取消比赛成绩。</w:t>
      </w:r>
    </w:p>
    <w:p>
      <w:pPr>
        <w:spacing w:line="520" w:lineRule="exact"/>
        <w:ind w:firstLine="560" w:firstLineChars="200"/>
        <w:jc w:val="both"/>
        <w:rPr>
          <w:rFonts w:hint="eastAsia" w:ascii="黑体" w:hAnsi="黑体" w:eastAsia="黑体" w:cs="黑体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5.比赛用品和工具</w:t>
      </w:r>
    </w:p>
    <w:tbl>
      <w:tblPr>
        <w:tblStyle w:val="12"/>
        <w:tblW w:w="8914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3"/>
        <w:gridCol w:w="3166"/>
        <w:gridCol w:w="2935"/>
        <w:gridCol w:w="139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lang w:val="en-US" w:eastAsia="zh-CN"/>
              </w:rPr>
              <w:t>类别</w:t>
            </w: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lang w:val="en-US" w:eastAsia="zh-CN"/>
              </w:rPr>
              <w:t>名称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lang w:val="en-US" w:eastAsia="zh-CN"/>
              </w:rPr>
              <w:t>数量/规格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lang w:val="en-US" w:eastAsia="zh-CN"/>
              </w:rPr>
              <w:t>用途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专用器材</w:t>
            </w: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三角巾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6条；底边长约130厘米，无菌独立包装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创伤包扎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医用纱布垫/敷料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6包；中号10cm×10cm，无菌独立包装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伤口覆盖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弹性绷带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2卷；宽度7.5厘米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包扎固定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通用型肢体夹板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2块；可塑形，40-50cm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小腿骨折固定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棉垫/衬垫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6块；20cm×30cm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骨突部位防护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医用记号笔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2支；油性细头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标记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心肺复苏模拟人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1具；带电子反馈功能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心肺复苏实操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一次性呼吸膜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10片；独立包装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人工呼吸防护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担架（含约束带）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1副；承重≥100公斤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伤员搬运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自动体外除颤器（AED）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1台；民用普及型，含成人电极片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除颤操作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辅助器材</w:t>
            </w: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一次性医用橡胶检查手套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6双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个人防护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一次性医用外科口罩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3个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个人防护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医用剪刀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1把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裁剪敷料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大屏幕计时器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1个；精准到秒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计时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医用黄色感染性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废物桶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1个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垃圾收纳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免洗手消毒液</w:t>
            </w:r>
          </w:p>
        </w:tc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1瓶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手部消毒</w:t>
            </w:r>
          </w:p>
        </w:tc>
      </w:tr>
    </w:tbl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三、评分标准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选手1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分钟内按要求完成复合伤救护、担架搬运、心肺复苏全流程操作，最终根据个人素养、操作能力、团队合作、流程规范完成情况确定得分，得分相同情况下用时短者获胜。本比赛项目实行百分制计分，计分标准如下：</w:t>
      </w:r>
    </w:p>
    <w:tbl>
      <w:tblPr>
        <w:tblStyle w:val="12"/>
        <w:tblW w:w="9559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2"/>
        <w:gridCol w:w="1441"/>
        <w:gridCol w:w="995"/>
        <w:gridCol w:w="5648"/>
        <w:gridCol w:w="101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19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lang w:val="en-US" w:eastAsia="zh-CN"/>
              </w:rPr>
              <w:t>评分项目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lang w:val="en-US" w:eastAsia="zh-CN"/>
              </w:rPr>
              <w:t>分值</w:t>
            </w: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lang w:val="en-US" w:eastAsia="zh-CN"/>
              </w:rPr>
              <w:t>评分标准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lang w:val="en-US" w:eastAsia="zh-CN"/>
              </w:rPr>
              <w:t>分值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46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个人素养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10分</w:t>
            </w:r>
          </w:p>
        </w:tc>
        <w:tc>
          <w:tcPr>
            <w:tcW w:w="144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着装与卫生</w:t>
            </w:r>
          </w:p>
        </w:tc>
        <w:tc>
          <w:tcPr>
            <w:tcW w:w="9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全体队员精神饱满、着装整洁、仪容仪表规范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46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防护得当，减少感染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4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职业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素养</w:t>
            </w:r>
          </w:p>
        </w:tc>
        <w:tc>
          <w:tcPr>
            <w:tcW w:w="9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态度专注认真、沉着冷静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 w:bidi="ar-SA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操作有序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  <w:lang w:val="en-US" w:eastAsia="zh-CN"/>
              </w:rPr>
              <w:t>动作熟练规范，体现专业性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沟通流畅，指导伤者配合表述清楚到位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有序协作，分工合理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4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人文关怀与伦理</w:t>
            </w:r>
          </w:p>
        </w:tc>
        <w:tc>
          <w:tcPr>
            <w:tcW w:w="9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操作中动作轻柔，避免粗暴操作，不增加伤者痛苦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安抚伤者情绪，减少恐惧，做好心理支持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取得知情同意，尊重伤者权利，保护隐私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6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保护伤者安全、不加重损伤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操作能力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80分</w:t>
            </w:r>
          </w:p>
        </w:tc>
        <w:tc>
          <w:tcPr>
            <w:tcW w:w="144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止血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包扎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固定 </w:t>
            </w:r>
          </w:p>
        </w:tc>
        <w:tc>
          <w:tcPr>
            <w:tcW w:w="9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确保环境安全，做好个人防护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自我介绍，取得知情同意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全面评估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启动应急救援系统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伤员体位合适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 w:bidi="ar-SA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止血操作规范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包扎平整牢固，松紧合适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包扎方法正确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固定位置正确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操作后评估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分工合理，配合默契，组织得力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46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安慰指导到位，沟通流畅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4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担架搬运</w:t>
            </w:r>
          </w:p>
        </w:tc>
        <w:tc>
          <w:tcPr>
            <w:tcW w:w="9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搬运前沟通与评估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伤员移动至担架节力、安全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担架固定位置正确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固定牢固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救护者站位正确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担架平稳、伤者舒适安全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46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及时关注伤者情况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4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心肺复苏</w:t>
            </w:r>
          </w:p>
        </w:tc>
        <w:tc>
          <w:tcPr>
            <w:tcW w:w="9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判断心肺骤停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做好防护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就近获取AED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胸外心脏按压部位、深度、频率规范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AED使用及时，方法正确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检查并清理口鼻分泌物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口对口人工呼吸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5个循环后再次判断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</w:trPr>
        <w:tc>
          <w:tcPr>
            <w:tcW w:w="46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中断时间≤10秒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4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整体评价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10分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应变力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团队成员能及时补位，表现出较好的随机应变能力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规范性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操作熟练、动作规范、流畅，救护措施得当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处置效率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体现关爱生命，争分夺秒的救护素养，无拖拉超时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</w:trPr>
        <w:tc>
          <w:tcPr>
            <w:tcW w:w="4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展示效果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操作中口述关键步骤，表述清晰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</w:trPr>
        <w:tc>
          <w:tcPr>
            <w:tcW w:w="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5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操作后及时报告结果，妥善安置伤员/患者得2分；未报告/未安置各扣1分。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</w:p>
        </w:tc>
      </w:tr>
    </w:tbl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四、参赛顺序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参赛顺序采取抽签制，根据竞赛要求，对抽签序号进行加密设置，即比赛期间不公布各队参赛顺序，参赛选手检录时需报本队的抽签序号，不得报所代表的院校及院系，以保证竞赛公平、公正。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五、入场要求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参赛选手须在接受安全教育后方可入场参赛，安全教育的实施由各参赛队领队负责。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1.参赛选手按照工作人员的统一指令到达备赛区后，听从备赛区工作人员指挥，找到对应位置，听从工作人员指挥统一进入考场，禁止携带手机、平板等电子设备及非自备清单物品入场。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2.如有参赛选手不听从工作人员指挥、在备赛区大声喧哗、随意走动等，首次给予口头警告，第二次给予扣分处罚；携带违禁物品入场，将取消参赛资格。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3.各队领队及指导教师不得进入备赛区，否则取消优秀组织奖及优秀指导教师评选资格。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六、赛场要求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1.参赛选手进入赛场后，必须听从工作人员及评委的统一指挥，裁判发令后方可开始操作。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2.比赛过程中，参赛选手必须严格遵守安全操作规程，规范使用救护器材，确保人身和设备安全，并接受现场工作人员及评委的监督和警示。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3.比赛过程中，严重违反赛场纪律影响他人比赛者、违反操作规程不听劝告者、有意损坏赛场设备或设施者，评委直接宣布取消其比赛资格。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4.各队领队及指导教师不得进入赛场，否则取消优秀组织奖及优秀指导教师评选资格。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5.操作中设备出现故障，选手需立即举手示意，由工作人员处理，不得自行拆卸、调试器材。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七、离场要求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参赛选手完成比赛后，在工作人员的统一指挥下，回到候场区等候，不得将救护器材、耗材、模拟人等带离比赛现场，按要求整理工位后方可离场。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八、竞赛成绩评定</w:t>
      </w:r>
    </w:p>
    <w:p>
      <w:pPr>
        <w:widowControl w:val="0"/>
        <w:kinsoku/>
        <w:autoSpaceDE/>
        <w:autoSpaceDN/>
        <w:adjustRightInd/>
        <w:snapToGrid/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kern w:val="2"/>
          <w:sz w:val="28"/>
          <w:szCs w:val="28"/>
        </w:rPr>
      </w:pPr>
      <w:r>
        <w:rPr>
          <w:rFonts w:hint="eastAsia" w:ascii="仿宋" w:hAnsi="仿宋" w:eastAsia="仿宋" w:cs="仿宋"/>
          <w:color w:val="auto"/>
          <w:kern w:val="2"/>
          <w:sz w:val="28"/>
          <w:szCs w:val="28"/>
        </w:rPr>
        <w:t>竞赛成绩赛后由统分组对评委评分进行汇总、排序，最终由裁判长复核签字确认每个参赛队的比赛名次。成绩并列时，按操作能力得分高低排名；仍并列，按核心操作耗时长短排名；再并列，按团队合作得分高低排名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九、其他事项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textAlignment w:val="baseline"/>
        <w:rPr>
          <w:rFonts w:hint="eastAsia" w:ascii="仿宋" w:hAnsi="仿宋" w:eastAsia="仿宋" w:cs="仿宋"/>
          <w:color w:val="auto"/>
          <w:kern w:val="2"/>
          <w:sz w:val="28"/>
          <w:szCs w:val="28"/>
        </w:rPr>
      </w:pPr>
      <w:r>
        <w:rPr>
          <w:rFonts w:hint="eastAsia" w:ascii="仿宋" w:hAnsi="仿宋" w:eastAsia="仿宋" w:cs="仿宋"/>
          <w:color w:val="auto"/>
          <w:kern w:val="2"/>
          <w:sz w:val="28"/>
          <w:szCs w:val="28"/>
        </w:rPr>
        <w:t>本评分细则中参赛选手入场、赛场、离场要求，将根据竞赛当天的现场情况统筹安排，请参赛选手听从工作人员和评委的统一指挥。竞赛按规则进行，如有调整以裁判长表述为准。</w:t>
      </w:r>
    </w:p>
    <w:p>
      <w:pPr>
        <w:kinsoku w:val="0"/>
        <w:adjustRightInd w:val="0"/>
        <w:snapToGrid w:val="0"/>
        <w:spacing w:line="520" w:lineRule="exact"/>
        <w:jc w:val="center"/>
        <w:textAlignment w:val="baseline"/>
        <w:rPr>
          <w:rFonts w:hint="eastAsia" w:ascii="仿宋" w:hAnsi="仿宋" w:eastAsia="仿宋" w:cs="仿宋"/>
          <w:color w:val="auto"/>
          <w:kern w:val="2"/>
          <w:sz w:val="28"/>
          <w:szCs w:val="28"/>
        </w:rPr>
      </w:pPr>
    </w:p>
    <w:p>
      <w:pPr>
        <w:kinsoku w:val="0"/>
        <w:adjustRightInd w:val="0"/>
        <w:snapToGrid w:val="0"/>
        <w:spacing w:line="520" w:lineRule="exact"/>
        <w:jc w:val="center"/>
        <w:textAlignment w:val="baseline"/>
        <w:rPr>
          <w:rFonts w:hint="default"/>
          <w:color w:val="auto"/>
          <w:lang w:val="en-US"/>
        </w:rPr>
      </w:pPr>
      <w:r>
        <w:rPr>
          <w:rFonts w:hint="default" w:ascii="微软雅黑" w:hAnsi="微软雅黑" w:eastAsia="微软雅黑" w:cs="微软雅黑"/>
          <w:b w:val="0"/>
          <w:bCs w:val="0"/>
          <w:i w:val="0"/>
          <w:iCs w:val="0"/>
          <w:snapToGrid w:val="0"/>
          <w:color w:val="auto"/>
          <w:spacing w:val="6"/>
          <w:kern w:val="2"/>
          <w:sz w:val="40"/>
          <w:szCs w:val="40"/>
          <w:highlight w:val="none"/>
          <w:vertAlign w:val="baseline"/>
          <w:lang w:val="en-US" w:eastAsia="zh-CN" w:bidi="ar-SA"/>
        </w:rPr>
        <w:t>“健康‘食’光”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snapToGrid w:val="0"/>
          <w:color w:val="auto"/>
          <w:spacing w:val="6"/>
          <w:kern w:val="2"/>
          <w:sz w:val="40"/>
          <w:szCs w:val="40"/>
          <w:highlight w:val="none"/>
          <w:vertAlign w:val="baseline"/>
          <w:lang w:val="en-US" w:eastAsia="zh-CN" w:bidi="ar-SA"/>
        </w:rPr>
        <w:t>——</w:t>
      </w:r>
      <w:r>
        <w:rPr>
          <w:rFonts w:hint="default" w:ascii="微软雅黑" w:hAnsi="微软雅黑" w:eastAsia="微软雅黑" w:cs="微软雅黑"/>
          <w:b w:val="0"/>
          <w:bCs w:val="0"/>
          <w:i w:val="0"/>
          <w:iCs w:val="0"/>
          <w:snapToGrid w:val="0"/>
          <w:color w:val="auto"/>
          <w:spacing w:val="6"/>
          <w:kern w:val="2"/>
          <w:sz w:val="40"/>
          <w:szCs w:val="40"/>
          <w:highlight w:val="none"/>
          <w:vertAlign w:val="baseline"/>
          <w:lang w:val="en-US" w:eastAsia="zh-CN" w:bidi="ar-SA"/>
        </w:rPr>
        <w:t>养生烹饪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snapToGrid w:val="0"/>
          <w:color w:val="auto"/>
          <w:spacing w:val="6"/>
          <w:kern w:val="2"/>
          <w:sz w:val="40"/>
          <w:szCs w:val="40"/>
          <w:highlight w:val="none"/>
          <w:vertAlign w:val="baseline"/>
          <w:lang w:val="en-US" w:eastAsia="zh-CN" w:bidi="ar-SA"/>
        </w:rPr>
        <w:t>项目</w:t>
      </w:r>
    </w:p>
    <w:p>
      <w:pPr>
        <w:adjustRightInd/>
        <w:snapToGrid/>
        <w:spacing w:line="520" w:lineRule="exact"/>
        <w:ind w:firstLine="560" w:firstLineChars="200"/>
        <w:jc w:val="both"/>
        <w:rPr>
          <w:rFonts w:hint="default" w:ascii="黑体" w:hAnsi="黑体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</w:pP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黑体" w:hAnsi="黑体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一、比赛目标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1.通过为不同人群定制养生膳食的实践，熟练掌握低油、低脂、低盐、高膳食纤维的烹饪核心技法，提升食材处理、营养配伍、创意呈现等劳动实践能力。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2.深入理解“合理膳食”“药食同源”的健康理念，培养将营养学知识与烹饪实操结合的应用能力，强化健康饮食意识与创新思维。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3.在团队协作完成菜品制作的过程中，提升分工配合、沟通协调、时间管理能力，厚植集体荣誉感与劳动责任感。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4.感受养生烹饪的文化内涵与实用价值，推动劳动技能在日常生活中的应用，养成科学健康的生活方式与认真细致的劳动态度。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黑体" w:hAnsi="黑体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二、比赛方式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1.参赛人员：本科组，3名选手</w:t>
      </w: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sz w:val="28"/>
          <w:szCs w:val="28"/>
          <w:highlight w:val="none"/>
          <w:vertAlign w:val="baseline"/>
          <w:lang w:val="en-US" w:eastAsia="zh-CN" w:bidi="ar-SA"/>
        </w:rPr>
        <w:t>，男女搭配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2.比赛形式：团队比赛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3.比赛时长：4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7</w:t>
      </w: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分钟（烹饪操作45分钟+菜品陈述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2</w:t>
      </w: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分钟）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4.比赛内容及流程：比赛开始后，各队抽签确定操作台位、试题，熟悉设备，基于健康膳食制作的实践场景，在主办方统一提供的“养生食材库”中现场选料，需在45分钟内完成一凉菜、一热菜、一汤品的养生菜品制作，涵盖食材处理、烹饪操作、装盘造型、现场整理全流程。所有选手完成烹饪操作后，按完成顺序各小组由指定代表进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2分</w:t>
      </w: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钟菜品讲解展示，阐述养生设计思路与团队分工亮点。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5.</w:t>
      </w:r>
      <w:r>
        <w:rPr>
          <w:rFonts w:hint="default" w:ascii="Arial" w:hAnsi="Arial" w:eastAsia="宋体" w:cs="Arial"/>
          <w:b w:val="0"/>
          <w:bCs w:val="0"/>
          <w:i w:val="0"/>
          <w:iCs w:val="0"/>
          <w:color w:val="auto"/>
          <w:sz w:val="21"/>
          <w:szCs w:val="21"/>
          <w:highlight w:val="none"/>
          <w:vertAlign w:val="baseline"/>
          <w:lang w:val="en-US" w:eastAsia="zh-CN" w:bidi="ar-SA"/>
        </w:rPr>
        <w:t xml:space="preserve"> </w:t>
      </w: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比赛用品和工具：</w:t>
      </w:r>
    </w:p>
    <w:p>
      <w:pPr>
        <w:adjustRightInd/>
        <w:snapToGrid/>
        <w:spacing w:line="520" w:lineRule="exact"/>
        <w:jc w:val="center"/>
        <w:rPr>
          <w:rFonts w:hint="default" w:ascii="方正黑体_GBK" w:hAnsi="方正黑体_GBK" w:eastAsia="方正黑体_GBK" w:cs="方正黑体_GBK"/>
          <w:b w:val="0"/>
          <w:bCs w:val="0"/>
          <w:i w:val="0"/>
          <w:iCs w:val="0"/>
          <w:color w:val="auto"/>
          <w:sz w:val="28"/>
          <w:szCs w:val="28"/>
          <w:highlight w:val="none"/>
          <w:vertAlign w:val="baseline"/>
          <w:lang w:val="en-US" w:eastAsia="zh-CN" w:bidi="ar-SA"/>
        </w:rPr>
      </w:pPr>
    </w:p>
    <w:p>
      <w:pPr>
        <w:adjustRightInd/>
        <w:snapToGrid/>
        <w:spacing w:line="520" w:lineRule="exact"/>
        <w:jc w:val="center"/>
        <w:rPr>
          <w:rFonts w:hint="default" w:ascii="方正黑体_GBK" w:hAnsi="方正黑体_GBK" w:eastAsia="方正黑体_GBK" w:cs="方正黑体_GBK"/>
          <w:b w:val="0"/>
          <w:bCs w:val="0"/>
          <w:i w:val="0"/>
          <w:iCs w:val="0"/>
          <w:color w:val="auto"/>
          <w:sz w:val="28"/>
          <w:szCs w:val="28"/>
          <w:highlight w:val="none"/>
          <w:vertAlign w:val="baseline"/>
          <w:lang w:val="en-US" w:eastAsia="zh-CN" w:bidi="ar-SA"/>
        </w:rPr>
      </w:pPr>
    </w:p>
    <w:p>
      <w:pPr>
        <w:adjustRightInd/>
        <w:snapToGrid/>
        <w:spacing w:line="520" w:lineRule="exact"/>
        <w:jc w:val="center"/>
        <w:rPr>
          <w:color w:val="auto"/>
        </w:rPr>
      </w:pPr>
      <w:r>
        <w:rPr>
          <w:rFonts w:hint="default" w:ascii="方正黑体_GBK" w:hAnsi="方正黑体_GBK" w:eastAsia="方正黑体_GBK" w:cs="方正黑体_GBK"/>
          <w:b w:val="0"/>
          <w:bCs w:val="0"/>
          <w:i w:val="0"/>
          <w:iCs w:val="0"/>
          <w:color w:val="auto"/>
          <w:sz w:val="28"/>
          <w:szCs w:val="28"/>
          <w:highlight w:val="none"/>
          <w:vertAlign w:val="baseline"/>
          <w:lang w:val="en-US" w:eastAsia="zh-CN" w:bidi="ar-SA"/>
        </w:rPr>
        <w:t>“健康‘食’光”养生烹饪项目用品和工具</w:t>
      </w:r>
    </w:p>
    <w:tbl>
      <w:tblPr>
        <w:tblStyle w:val="12"/>
        <w:tblW w:w="8630" w:type="dxa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1984"/>
        <w:gridCol w:w="2552"/>
        <w:gridCol w:w="268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类别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名称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数量 / 规格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用途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烹饪设备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烹饪操作台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张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食材处理、烹饪操作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基础灶具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套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菜品烹饪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烹饪工具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炒勺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把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热菜烹饪、汤品熬制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汤勺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把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汤品制作、食材捞取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菜刀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3 把；含切肉、切菜、切水果专用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食材切配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砧板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2 块；生熟专用，标识清晰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食材切配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菜盆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3 个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食材盛放、清洗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漏勺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个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食材焯煮、捞取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量取工具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套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食材定量取用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盛菜器具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陶瓷盘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3-4 个；通用款，适配凉菜、热菜装盘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菜品盛放、摆盘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陶瓷汤碗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1-2 个；容量适中，适配汤品装盘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汤品盛放、摆盘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清洁工具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抹布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2 块；专用清洁，区分使用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操作台清洁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清洁海绵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块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器具清洁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洗洁精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瓶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清洁去污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水桶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个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清洁用水盛放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垃圾分类桶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组；含可回收物、厨余垃圾、其他垃圾，带清晰标识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垃圾收纳分类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辅助工具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计时器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个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时间把控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食材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养生食材库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批；含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肉类、</w:t>
            </w: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谷物豆类、药食同源（干品）、根茎类、叶菜类、瓜果类、菌菇类、蛋白类等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菜品制作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通用调味品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 批；含盐、糖、生抽、老抽、醋、食用油、葱姜蒜、花椒、八角、桂皮等基础调味品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菜品调味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矿泉水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1桶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汤品制作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防护用品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一次性厨师帽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3顶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卫生防护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一次性口罩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3个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卫生防护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一次性手套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3副</w:t>
            </w:r>
          </w:p>
        </w:tc>
        <w:tc>
          <w:tcPr>
            <w:tcW w:w="26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卫生防护、操作防护</w:t>
            </w:r>
          </w:p>
        </w:tc>
      </w:tr>
    </w:tbl>
    <w:p>
      <w:pPr>
        <w:kinsoku w:val="0"/>
        <w:adjustRightInd w:val="0"/>
        <w:snapToGrid w:val="0"/>
        <w:spacing w:line="520" w:lineRule="exact"/>
        <w:ind w:firstLine="280" w:firstLineChars="100"/>
        <w:jc w:val="both"/>
        <w:rPr>
          <w:color w:val="auto"/>
        </w:rPr>
      </w:pPr>
      <w:r>
        <w:rPr>
          <w:rFonts w:hint="default" w:ascii="黑体" w:hAnsi="黑体" w:eastAsia="黑体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备注：以上材料除食材外如出现短缺可举手示意，进行补充。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黑体" w:hAnsi="等线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三、评分标准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Times New Roman" w:eastAsia="仿宋_GB2312" w:cs="Times New Roman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3名选手4</w:t>
      </w:r>
      <w:r>
        <w:rPr>
          <w:rFonts w:hint="eastAsia" w:ascii="仿宋_GB2312" w:hAnsi="Times New Roman" w:eastAsia="仿宋_GB2312" w:cs="Times New Roman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7</w:t>
      </w:r>
      <w:r>
        <w:rPr>
          <w:rFonts w:hint="default" w:ascii="仿宋_GB2312" w:hAnsi="Times New Roman" w:eastAsia="仿宋_GB2312" w:cs="Times New Roman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分钟内（</w:t>
      </w:r>
      <w:r>
        <w:rPr>
          <w:rFonts w:hint="eastAsia" w:ascii="仿宋_GB2312" w:hAnsi="Times New Roman" w:eastAsia="仿宋_GB2312" w:cs="Times New Roman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含</w:t>
      </w:r>
      <w:r>
        <w:rPr>
          <w:rFonts w:hint="default" w:ascii="仿宋_GB2312" w:hAnsi="Times New Roman" w:eastAsia="仿宋_GB2312" w:cs="Times New Roman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烹饪操作、菜品陈述），分工明确、合作完成抽题目中相应人群的养生菜品制作（一凉菜、一热菜、一汤品），最终根据食材处理、烹饪技艺、成品呈现、养生配伍、团队协作、劳动素养等维度确定得分，得分相同情况下用时短者获胜。本比赛项目实行百分制计分形式，计分标准如下：</w:t>
      </w:r>
    </w:p>
    <w:p>
      <w:pPr>
        <w:adjustRightInd/>
        <w:snapToGrid/>
        <w:spacing w:line="520" w:lineRule="exact"/>
        <w:jc w:val="center"/>
        <w:rPr>
          <w:color w:val="auto"/>
        </w:rPr>
      </w:pPr>
      <w:r>
        <w:rPr>
          <w:rFonts w:hint="default" w:ascii="方正黑体_GBK" w:hAnsi="方正黑体_GBK" w:eastAsia="方正黑体_GBK" w:cs="方正黑体_GBK"/>
          <w:b w:val="0"/>
          <w:bCs w:val="0"/>
          <w:i w:val="0"/>
          <w:iCs w:val="0"/>
          <w:color w:val="auto"/>
          <w:sz w:val="28"/>
          <w:szCs w:val="28"/>
          <w:highlight w:val="none"/>
          <w:vertAlign w:val="baseline"/>
          <w:lang w:val="en-US" w:eastAsia="zh-CN" w:bidi="ar-SA"/>
        </w:rPr>
        <w:t>“健康‘食’光”养生烹饪项目</w:t>
      </w:r>
      <w:r>
        <w:rPr>
          <w:rFonts w:hint="eastAsia" w:ascii="方正黑体_GBK" w:hAnsi="方正黑体_GBK" w:cs="方正黑体_GBK"/>
          <w:b/>
          <w:bCs/>
          <w:i w:val="0"/>
          <w:iCs w:val="0"/>
          <w:color w:val="auto"/>
          <w:sz w:val="28"/>
          <w:szCs w:val="28"/>
          <w:highlight w:val="none"/>
          <w:vertAlign w:val="baseline"/>
          <w:lang w:val="en-US" w:eastAsia="zh-CN" w:bidi="ar-SA"/>
        </w:rPr>
        <w:t>评分标准</w:t>
      </w:r>
    </w:p>
    <w:tbl>
      <w:tblPr>
        <w:tblStyle w:val="1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0"/>
        <w:gridCol w:w="5156"/>
        <w:gridCol w:w="16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/>
                <w:bCs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评分项目</w:t>
            </w:r>
          </w:p>
        </w:tc>
        <w:tc>
          <w:tcPr>
            <w:tcW w:w="51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/>
                <w:bCs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评分细则</w:t>
            </w:r>
          </w:p>
        </w:tc>
        <w:tc>
          <w:tcPr>
            <w:tcW w:w="1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/>
                <w:bCs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分值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个人素养</w:t>
            </w:r>
          </w:p>
        </w:tc>
        <w:tc>
          <w:tcPr>
            <w:tcW w:w="51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全体队员着装整洁、无饰品，头发梳理规范；操作过程中生熟分开、器具清洁。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10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分）</w:t>
            </w:r>
          </w:p>
        </w:tc>
        <w:tc>
          <w:tcPr>
            <w:tcW w:w="1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操作能力</w:t>
            </w:r>
          </w:p>
        </w:tc>
        <w:tc>
          <w:tcPr>
            <w:tcW w:w="51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1.食材处理：凉菜、热菜、汤品切配刀工规范，厚薄、大小、形态均匀美观。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（1</w:t>
            </w: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0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分）</w:t>
            </w: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2.烹饪技艺：凉菜口感、调味层次分明；热菜火候把控精准，成熟度适中，无过火、欠火、焦糊；汤品熬、炖、煮到位，汤色、口感、滋味醇正。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（15分）</w:t>
            </w: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3.成品呈现：三款菜品色、香、味、形俱佳，摆盘造型精致且搭配协调；装盘器具使用恰当，无洒漏、无杂乱。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（15分）</w:t>
            </w: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4.养生配伍：凉菜、热菜、汤品食材搭配养生目标明确（如健脾、润肺、清热等），三款菜品功效搭配无冲突。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（1</w:t>
            </w: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5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分）</w:t>
            </w: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5.现场整理：45分钟内完成所有菜品制作及操作台清洁，工具归位整齐、垃圾分类准确，无超时或现场杂乱情况。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（10分）</w:t>
            </w:r>
          </w:p>
        </w:tc>
        <w:tc>
          <w:tcPr>
            <w:tcW w:w="1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团队合作</w:t>
            </w:r>
          </w:p>
        </w:tc>
        <w:tc>
          <w:tcPr>
            <w:tcW w:w="51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分工明确，时间分配科学合理</w:t>
            </w: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，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展现较强的团队协作能力</w:t>
            </w: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。</w:t>
            </w:r>
          </w:p>
        </w:tc>
        <w:tc>
          <w:tcPr>
            <w:tcW w:w="1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讲解展示</w:t>
            </w:r>
          </w:p>
        </w:tc>
        <w:tc>
          <w:tcPr>
            <w:tcW w:w="51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1.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指定队员在</w:t>
            </w: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2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分钟内清晰讲解三款菜品的名称、养生设计思路、食材配伍逻辑</w:t>
            </w: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、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团队分工亮点、菜品制作核心技巧及创意设计理念，逻辑清晰、重点突出，无跑题、啰嗦；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10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分）</w:t>
            </w: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2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.表达自信、声音洪亮，脱稿或半脱稿，有眼神交流，能精准抓住菜品的养生特色与制作亮点，展现对养生烹饪的深刻理解。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5</w:t>
            </w:r>
            <w:r>
              <w:rPr>
                <w:rFonts w:hint="default" w:ascii="仿宋" w:hAnsi="仿宋" w:eastAsia="仿宋" w:cs="Arial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分）</w:t>
            </w:r>
          </w:p>
        </w:tc>
        <w:tc>
          <w:tcPr>
            <w:tcW w:w="1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firstLine="480" w:firstLineChars="200"/>
              <w:jc w:val="left"/>
              <w:rPr>
                <w:rFonts w:hint="default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Arial"/>
                <w:b w:val="0"/>
                <w:bCs w:val="0"/>
                <w:i w:val="0"/>
                <w:iCs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15</w:t>
            </w:r>
          </w:p>
        </w:tc>
      </w:tr>
    </w:tbl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黑体" w:hAnsi="等线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四、参赛顺序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参赛顺序采取抽签制，根据竞赛要求，对抽签序号进行加密设置，即比赛期间不公布各队参赛顺序，参赛选手检录时需报本队的抽签序号，不得报所代表的地市及学校，以保证竞赛公平、公正。</w:t>
      </w:r>
    </w:p>
    <w:p>
      <w:pPr>
        <w:adjustRightInd/>
        <w:snapToGrid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eastAsia" w:ascii="黑体" w:hAnsi="等线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五、</w:t>
      </w:r>
      <w:r>
        <w:rPr>
          <w:rFonts w:hint="default" w:ascii="黑体" w:hAnsi="等线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入场要求</w:t>
      </w:r>
    </w:p>
    <w:p>
      <w:pPr>
        <w:kinsoku w:val="0"/>
        <w:adjustRightInd w:val="0"/>
        <w:snapToGrid w:val="0"/>
        <w:spacing w:line="520" w:lineRule="exact"/>
        <w:jc w:val="both"/>
        <w:rPr>
          <w:color w:val="auto"/>
        </w:rPr>
      </w:pPr>
      <w:r>
        <w:rPr>
          <w:rFonts w:hint="default" w:ascii="黑体" w:hAnsi="等线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    </w:t>
      </w:r>
      <w:r>
        <w:rPr>
          <w:rFonts w:hint="default" w:ascii="仿宋" w:hAnsi="仿宋" w:eastAsia="仿宋" w:cs="仿宋"/>
          <w:b w:val="0"/>
          <w:bCs w:val="0"/>
          <w:i w:val="0"/>
          <w:iCs w:val="0"/>
          <w:color w:val="auto"/>
          <w:spacing w:val="-11"/>
          <w:sz w:val="28"/>
          <w:szCs w:val="28"/>
          <w:highlight w:val="none"/>
          <w:vertAlign w:val="baseline"/>
          <w:lang w:val="en-US" w:eastAsia="zh-CN" w:bidi="ar-SA"/>
        </w:rPr>
        <w:t>参赛选手须在接受安全教育后方可入场参赛，安全教育的实施由各参赛队领队负责。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1.参赛选手按照工作人员的统一指令到达备赛区后，听从备赛区工作人员指挥，找到对应位置，听从工作人员指挥统一进入考场，禁止携带手机等电子设备入场。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2.如有参赛选手不听从工作人员指挥、在备赛区大声喧哗、随意走动等，首次给予口头警告，第二次给予扣分处罚。携带电子设备入场，将取消参赛资格。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3.各队领队及指导教师不得进入备赛区，否则取消优秀组织奖及优秀指导教师评选资格。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黑体" w:hAnsi="等线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六、赛场要求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1.参赛选手进入赛场后，必须听从工作人员及评委的统一指挥。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2.工作人员宣布比赛开始，参赛选手才能进行比赛操作。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3.比赛过程中，参赛选手必须严格遵守安全操作规程，确保人身和设备安全，并接受现场工作人员及评委的监督和警示。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4.比赛过程中，严重违反赛场纪律影响他人比赛者，违反操作规程不听劝告者，有意损坏赛场设备或设施者，评委直接宣布取消其比赛资格。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5.各队领队及指导教师不得进入赛场，否则取消优秀组织奖及优秀指导教师评选资格。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黑体" w:hAnsi="等线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七、离场要求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参赛选手完成比赛后，在工作人员的统一指挥下，回到候场区等候，不得将菜品、工具、材料等带离比赛现场。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黑体" w:hAnsi="等线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八、竞赛成绩评定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竞赛成绩赛后由统分组对评委评分进行汇总、排序，最终由裁判长复核签字确认每个参赛队的比赛名次。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黑体" w:hAnsi="等线" w:eastAsia="黑体" w:cs="黑体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九、其他事项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 xml:space="preserve">本评分细则中参赛选手入场、赛场、离场要求，还要根据竞赛当天的现场情况统筹安排。请参赛选手听从工作人员和评委的统一指挥。 </w:t>
      </w:r>
    </w:p>
    <w:p>
      <w:pPr>
        <w:kinsoku w:val="0"/>
        <w:adjustRightInd w:val="0"/>
        <w:snapToGrid w:val="0"/>
        <w:spacing w:line="520" w:lineRule="exact"/>
        <w:ind w:firstLine="560" w:firstLineChars="200"/>
        <w:jc w:val="both"/>
        <w:rPr>
          <w:color w:val="auto"/>
        </w:rPr>
      </w:pPr>
      <w:r>
        <w:rPr>
          <w:rFonts w:hint="default" w:ascii="仿宋_GB2312" w:hAnsi="Arial" w:eastAsia="仿宋_GB2312" w:cs="Arial"/>
          <w:b w:val="0"/>
          <w:bCs w:val="0"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竞赛按规则进行，如有调整以裁判长表述为准。</w:t>
      </w:r>
    </w:p>
    <w:p>
      <w:pPr>
        <w:pageBreakBefore w:val="0"/>
        <w:widowControl w:val="0"/>
        <w:wordWrap/>
        <w:overflowPunct/>
        <w:topLinePunct w:val="0"/>
        <w:bidi w:val="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 w:cs="Arial"/>
          <w:b w:val="0"/>
          <w:bCs w:val="0"/>
          <w:i w:val="0"/>
          <w:iCs w:val="0"/>
          <w:color w:val="auto"/>
          <w:sz w:val="32"/>
          <w:szCs w:val="32"/>
          <w:highlight w:val="none"/>
          <w:vertAlign w:val="baseline"/>
          <w:lang w:val="en-US" w:eastAsia="zh-CN" w:bidi="ar-SA"/>
        </w:rPr>
        <w:br w:type="page"/>
      </w:r>
    </w:p>
    <w:p>
      <w:pPr>
        <w:widowControl/>
        <w:kinsoku w:val="0"/>
        <w:adjustRightInd w:val="0"/>
        <w:snapToGrid w:val="0"/>
        <w:spacing w:line="520" w:lineRule="exact"/>
        <w:jc w:val="center"/>
        <w:textAlignment w:val="baseline"/>
        <w:rPr>
          <w:rFonts w:hint="eastAsia" w:ascii="微软雅黑" w:hAnsi="微软雅黑" w:eastAsia="微软雅黑" w:cs="微软雅黑"/>
          <w:snapToGrid w:val="0"/>
          <w:color w:val="auto"/>
          <w:spacing w:val="6"/>
          <w:sz w:val="40"/>
          <w:szCs w:val="40"/>
          <w:lang w:val="en-US" w:eastAsia="zh-CN"/>
        </w:rPr>
      </w:pPr>
    </w:p>
    <w:p>
      <w:pPr>
        <w:widowControl/>
        <w:kinsoku w:val="0"/>
        <w:adjustRightInd w:val="0"/>
        <w:snapToGrid w:val="0"/>
        <w:spacing w:line="520" w:lineRule="exact"/>
        <w:jc w:val="center"/>
        <w:textAlignment w:val="baseline"/>
        <w:rPr>
          <w:rFonts w:hint="eastAsia" w:ascii="微软雅黑" w:hAnsi="微软雅黑" w:eastAsia="微软雅黑" w:cs="微软雅黑"/>
          <w:snapToGrid w:val="0"/>
          <w:color w:val="auto"/>
          <w:spacing w:val="6"/>
          <w:sz w:val="40"/>
          <w:szCs w:val="40"/>
        </w:rPr>
      </w:pPr>
      <w:r>
        <w:rPr>
          <w:rFonts w:hint="eastAsia" w:ascii="微软雅黑" w:hAnsi="微软雅黑" w:eastAsia="微软雅黑" w:cs="微软雅黑"/>
          <w:snapToGrid w:val="0"/>
          <w:color w:val="auto"/>
          <w:spacing w:val="6"/>
          <w:sz w:val="40"/>
          <w:szCs w:val="40"/>
          <w:lang w:val="en-US" w:eastAsia="zh-CN"/>
        </w:rPr>
        <w:t>智“绘”思政——</w:t>
      </w:r>
      <w:r>
        <w:rPr>
          <w:rFonts w:hint="eastAsia" w:ascii="微软雅黑" w:hAnsi="微软雅黑" w:eastAsia="微软雅黑" w:cs="微软雅黑"/>
          <w:snapToGrid w:val="0"/>
          <w:color w:val="auto"/>
          <w:spacing w:val="6"/>
          <w:sz w:val="40"/>
          <w:szCs w:val="40"/>
        </w:rPr>
        <w:t>AI赋能</w:t>
      </w:r>
      <w:r>
        <w:rPr>
          <w:rFonts w:hint="eastAsia" w:ascii="微软雅黑" w:hAnsi="微软雅黑" w:eastAsia="微软雅黑" w:cs="微软雅黑"/>
          <w:snapToGrid w:val="0"/>
          <w:color w:val="auto"/>
          <w:spacing w:val="6"/>
          <w:sz w:val="40"/>
          <w:szCs w:val="40"/>
          <w:lang w:val="en-US" w:eastAsia="zh-CN"/>
        </w:rPr>
        <w:t>思政资源</w:t>
      </w:r>
      <w:r>
        <w:rPr>
          <w:rFonts w:hint="eastAsia" w:ascii="微软雅黑" w:hAnsi="微软雅黑" w:eastAsia="微软雅黑" w:cs="微软雅黑"/>
          <w:snapToGrid w:val="0"/>
          <w:color w:val="auto"/>
          <w:spacing w:val="6"/>
          <w:sz w:val="40"/>
          <w:szCs w:val="40"/>
        </w:rPr>
        <w:t>创作</w:t>
      </w:r>
      <w:r>
        <w:rPr>
          <w:rFonts w:hint="eastAsia" w:ascii="微软雅黑" w:hAnsi="微软雅黑" w:eastAsia="微软雅黑" w:cs="微软雅黑"/>
          <w:snapToGrid w:val="0"/>
          <w:color w:val="auto"/>
          <w:spacing w:val="6"/>
          <w:sz w:val="40"/>
          <w:szCs w:val="40"/>
          <w:lang w:val="en-US" w:eastAsia="zh-CN"/>
        </w:rPr>
        <w:t>项目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一、比赛目标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1.强化思想引领，推动学生将数字技术与思想政治教育深度融合，提升大思政实践资源创作的专业能力。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2.提升技术应用水平，检验学生运用AI工具开展思政内容数字化设计、制作与呈现的实操能力。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3.培育创新创意能力，引导学生围绕思政主题进行内容创新、形式创新与表达创新，打造高质量思政实践作品。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4.增强团队协作与综合实践素养，提升学生在项目策划、作品创作、路演展示全流程的协同执行与综合展示能力。</w:t>
      </w:r>
    </w:p>
    <w:p>
      <w:pPr>
        <w:spacing w:line="520" w:lineRule="exact"/>
        <w:ind w:firstLine="560" w:firstLineChars="200"/>
        <w:jc w:val="both"/>
        <w:rPr>
          <w:rFonts w:hint="eastAsia" w:ascii="黑体" w:hAnsi="黑体" w:eastAsia="黑体" w:cs="黑体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二、比赛方式</w:t>
      </w:r>
    </w:p>
    <w:p>
      <w:pPr>
        <w:spacing w:line="520" w:lineRule="exact"/>
        <w:ind w:firstLine="562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1.参赛人员：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本科组，3名选手，男女搭配</w:t>
      </w:r>
    </w:p>
    <w:p>
      <w:pPr>
        <w:spacing w:line="520" w:lineRule="exact"/>
        <w:ind w:firstLine="562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2.比赛形式：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团队比赛</w:t>
      </w:r>
    </w:p>
    <w:p>
      <w:pPr>
        <w:spacing w:line="520" w:lineRule="exact"/>
        <w:ind w:firstLine="562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3.比赛时长：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40分钟（现场创作35分钟、路演展示5分钟，含PPT演示与讲解）</w:t>
      </w:r>
    </w:p>
    <w:p>
      <w:pPr>
        <w:spacing w:line="520" w:lineRule="exact"/>
        <w:ind w:firstLine="562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4.比赛内容：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本次竞赛以三人团队形式开展，采用现场抽题+限时创作+路演展示的竞赛模式，重点检验参赛团队运用AI技术开展大思政实践资源数字化创作与综合展示的能力，所有竞赛项目须在规定时间内完成。组委会提前编制30个紧扣大思政教育的标准化竞赛主题，涵盖红色文化、理想信念、时代精神、中华优秀传统文化、青年使命担当等类别，主题密封后于竞赛现场统一保管；参赛队伍按抽签顺序现场抽取主题，抽取后即时确定为本队创作主题，无特殊情况不予更换。</w:t>
      </w:r>
    </w:p>
    <w:p>
      <w:pPr>
        <w:spacing w:line="520" w:lineRule="exact"/>
        <w:ind w:firstLine="562" w:firstLineChars="200"/>
        <w:jc w:val="both"/>
        <w:rPr>
          <w:rFonts w:hint="eastAsia" w:ascii="仿宋" w:hAnsi="仿宋" w:eastAsia="仿宋" w:cs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line="520" w:lineRule="exact"/>
        <w:ind w:firstLine="562" w:firstLineChars="200"/>
        <w:jc w:val="both"/>
        <w:rPr>
          <w:rFonts w:hint="eastAsia" w:ascii="仿宋" w:hAnsi="仿宋" w:eastAsia="仿宋" w:cs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line="520" w:lineRule="exact"/>
        <w:ind w:firstLine="562" w:firstLineChars="200"/>
        <w:jc w:val="both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val="en-US" w:eastAsia="zh-CN"/>
        </w:rPr>
        <w:t>5.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比赛用品和工具</w:t>
      </w:r>
    </w:p>
    <w:tbl>
      <w:tblPr>
        <w:tblStyle w:val="12"/>
        <w:tblW w:w="8835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4"/>
        <w:gridCol w:w="1696"/>
        <w:gridCol w:w="4241"/>
        <w:gridCol w:w="131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4"/>
                <w:szCs w:val="24"/>
              </w:rPr>
            </w:pPr>
            <w:bookmarkStart w:id="2" w:name="_GoBack"/>
            <w:bookmarkEnd w:id="2"/>
            <w:r>
              <w:rPr>
                <w:rFonts w:hint="eastAsia" w:ascii="黑体" w:hAnsi="黑体" w:eastAsia="黑体" w:cs="黑体"/>
                <w:color w:val="auto"/>
                <w:sz w:val="24"/>
                <w:szCs w:val="24"/>
                <w:lang w:val="en-US" w:eastAsia="zh-CN"/>
              </w:rPr>
              <w:t>类别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auto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4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auto"/>
                <w:sz w:val="24"/>
                <w:szCs w:val="24"/>
                <w:lang w:val="en-US" w:eastAsia="zh-CN"/>
              </w:rPr>
              <w:t>数量/规格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auto"/>
                <w:sz w:val="24"/>
                <w:szCs w:val="24"/>
                <w:lang w:val="en-US" w:eastAsia="zh-CN"/>
              </w:rPr>
              <w:t>用途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专用器材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竞赛用计算机</w:t>
            </w:r>
          </w:p>
        </w:tc>
        <w:tc>
          <w:tcPr>
            <w:tcW w:w="4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1台；酷睿i7；16G+内存，独立显卡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数字创作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显示设备</w:t>
            </w:r>
          </w:p>
        </w:tc>
        <w:tc>
          <w:tcPr>
            <w:tcW w:w="4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1台；19寸及以上，2K+高清液晶显示器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操作显示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输入设备</w:t>
            </w:r>
          </w:p>
        </w:tc>
        <w:tc>
          <w:tcPr>
            <w:tcW w:w="4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1套；静音专业键盘、光电鼠标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操作输入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演示设备</w:t>
            </w:r>
          </w:p>
        </w:tc>
        <w:tc>
          <w:tcPr>
            <w:tcW w:w="4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1套；55寸高清显示屏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路演展示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音响设备</w:t>
            </w:r>
          </w:p>
        </w:tc>
        <w:tc>
          <w:tcPr>
            <w:tcW w:w="4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1套；无线手持麦克风1支/教室+收声阵列+公放+音箱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路演讲解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存储设备</w:t>
            </w:r>
          </w:p>
        </w:tc>
        <w:tc>
          <w:tcPr>
            <w:tcW w:w="4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1个；大赛专用加密U盘，≥32G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作品存储/提交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计时设备</w:t>
            </w:r>
          </w:p>
        </w:tc>
        <w:tc>
          <w:tcPr>
            <w:tcW w:w="4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1个；精准到秒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计时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网络设备</w:t>
            </w:r>
          </w:p>
        </w:tc>
        <w:tc>
          <w:tcPr>
            <w:tcW w:w="4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1套；企业级千兆路由器+交换机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网络保障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技术资源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AI工具</w:t>
            </w:r>
          </w:p>
        </w:tc>
        <w:tc>
          <w:tcPr>
            <w:tcW w:w="4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豆包、KIMI、DEEPSEEK、文心一言、通义千问、即梦客户端、网页版。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素材生成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专用软件</w:t>
            </w:r>
          </w:p>
        </w:tc>
        <w:tc>
          <w:tcPr>
            <w:tcW w:w="4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剪映、WPS演示、Microsoft PowerPoint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素材加工/PPT制作</w:t>
            </w:r>
          </w:p>
        </w:tc>
      </w:tr>
    </w:tbl>
    <w:p>
      <w:pPr>
        <w:spacing w:line="520" w:lineRule="exact"/>
        <w:ind w:firstLine="562" w:firstLineChars="200"/>
        <w:jc w:val="both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</w:p>
    <w:p>
      <w:pPr>
        <w:numPr>
          <w:ilvl w:val="0"/>
          <w:numId w:val="1"/>
        </w:numPr>
        <w:spacing w:line="520" w:lineRule="exact"/>
        <w:ind w:firstLine="560" w:firstLineChars="200"/>
        <w:jc w:val="both"/>
        <w:rPr>
          <w:rFonts w:hint="eastAsia" w:ascii="黑体" w:hAnsi="黑体" w:eastAsia="黑体" w:cs="黑体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评分标准</w:t>
      </w:r>
    </w:p>
    <w:p>
      <w:pPr>
        <w:numPr>
          <w:ilvl w:val="0"/>
          <w:numId w:val="0"/>
        </w:num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选手40分钟内按要求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完成思政资源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数字创作及路演，最终根据个人素养、操作能力、团队合作、路演展示完成情况确定得分，得分相同情况下用时短者获胜。本比赛项目实行百分制计分，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政治方向不正确的参赛队一票否决，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计分标准如下：</w:t>
      </w:r>
    </w:p>
    <w:tbl>
      <w:tblPr>
        <w:tblStyle w:val="12"/>
        <w:tblW w:w="8835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2"/>
        <w:gridCol w:w="1432"/>
        <w:gridCol w:w="804"/>
        <w:gridCol w:w="563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3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hint="eastAsia"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auto"/>
                <w:sz w:val="24"/>
                <w:szCs w:val="24"/>
                <w:lang w:val="en-US" w:eastAsia="zh-CN"/>
              </w:rPr>
              <w:t>评分项目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hint="eastAsia"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auto"/>
                <w:sz w:val="24"/>
                <w:szCs w:val="24"/>
                <w:lang w:val="en-US" w:eastAsia="zh-CN"/>
              </w:rPr>
              <w:t>分值</w:t>
            </w:r>
          </w:p>
        </w:tc>
        <w:tc>
          <w:tcPr>
            <w:tcW w:w="5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hint="eastAsia"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auto"/>
                <w:sz w:val="24"/>
                <w:szCs w:val="24"/>
                <w:lang w:val="en-US" w:eastAsia="zh-CN"/>
              </w:rPr>
              <w:t>评分标准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个人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素养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10分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着装与礼仪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5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全体队员着装整洁、得体大方2分；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仪容仪表规范2分。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创作态度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操作中专注认真、有条不紊2分；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无大声喧哗等现象1分。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赛场规则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严格遵守赛场规则，服从工作人员与裁判指挥3分。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9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操作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能力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70分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AI工具操作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5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熟练使用AI工具，高效生成图文、短句、短视频脚本等高质量素材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20分；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生成内容无政治性、知识性偏差，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高度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适配创作需求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20分；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使用翻墙软件0分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9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PPT内容制作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5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PPT内容紧扣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所抽取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主题，核心内涵提炼精准，逻辑层次清晰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10分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排版简洁庄重、重点突出，可视化呈现效果佳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10分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配色、字体、动画风格统一贴合思政氛围，无任何错误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10分；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使用翻墙软件0分。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团队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合作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10分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分工明确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衔接顺畅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5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3名队员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权责分明、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分工清晰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各环节衔接高效7分。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时间分配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在规定时间内内高效完成各环节3分。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路演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展示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10分</w:t>
            </w: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表达流畅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5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讲解通顺、逻辑严谨3分；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时间把控精准1分。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亮点突出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精准提炼作品核心亮点1分；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讲解贴合主题，通俗易懂、有感染力得2分。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演示规范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PPT演示操作熟练，无卡顿失误2分；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PPT演示与讲解节奏配合得宜1分。</w:t>
            </w:r>
          </w:p>
        </w:tc>
      </w:tr>
    </w:tbl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四、参赛顺序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参赛顺序采取抽签制，根据竞赛要求，对抽签序号进行加密设置，即比赛期间不公布各队参赛顺序，参赛选手检录时需报本队的抽签序号，不得报所代表的院校及院系，以保证竞赛公平、公正。 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五、入场要求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参赛选手须在接受安全教育后方可入场参赛，安全教育的实施由各参赛队领队负责。 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1.参赛选手按照工作人员的统一指令到达备赛区后，听从备赛区工作人员指挥，找到对应位置，听从工作人员指挥统一进入考场，禁止携带手机、平板、U盘、移动硬盘等通讯/存储设备及非自备清单物品入场。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2.如有参赛选手不听从工作人员指挥、在备赛区大声喧哗、随意走动等，首次给予口头警告，第二次给予扣分处罚；携带违禁物品入场，将取消参赛资格。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3.各队领队及指导教师不得进入备赛区，否则取消优秀组织奖及优秀指导教师评选资格。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六、赛场要求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1.参赛选手进入赛场后，必须听从工作人员及评委的统一指挥，裁判发令后方可开始主题抽取、创作操作。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2.比赛过程中，参赛选手必须严格遵守安全操作规程，规范使用计算机、演示设备，不得随意拆卸、插拔配件、更改系统设置，确保设备安全，并接受现场工作人员及评委的监督和警示。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3.比赛过程中，严重违反赛场纪律影响他人比赛者、违反操作规程不听劝告者、有意损坏赛场设备或设施者、擅自更换抽取主题者，评委直接宣布取消其比赛资格。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4.各队领队及指导教师不得进入赛场，否则取消优秀组织奖及优秀指导教师评选资格。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5.操作中设备/网络出现故障，选手需立即举手示意，由技术保障人员处理，不得自行维修/调试。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七、离场要求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参赛选手完成比赛后，在工作人员的统一指挥下，回到候场区等候，不得将计算机设备、存储设备、技术资源等拷贝、拆卸、带离比赛现场，按要求关闭设备、整理工位后方可离场。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八、竞赛成绩评定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竞赛成绩赛后由统分组对评委评分进行汇总、排序，最终由裁判长复核签字确认每个参赛队的比赛名次。成绩并列时，按操作能力得分高低排名；仍并列，按核心创作操作（素材生成+PPT制作）耗时长短排名；再并列，按团队合作得分高低排名。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九、其他事项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20" w:lineRule="exact"/>
        <w:ind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本评分细则中参赛选手入场、赛场、离场要求，将根据竞赛当天的现场情况统筹安排，请参赛选手听从工作人员和评委的统一指挥。竞赛按规则进行，如有调整以裁判长表述为准。</w:t>
      </w:r>
    </w:p>
    <w:p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</w:p>
    <w:sectPr>
      <w:footerReference r:id="rId5" w:type="default"/>
      <w:pgSz w:w="11906" w:h="16838"/>
      <w:pgMar w:top="1361" w:right="1474" w:bottom="1361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C61B5679-2222-4D1A-93BB-ABCFAE685A4F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98F4AF39-99CF-4BCD-A800-EB691EF83F3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3" w:fontKey="{F7A5BB24-243C-4E03-B5D4-14D56D8CF37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19152B79-BB8E-4CEC-A637-49BDAE31B778}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5" w:fontKey="{83A8B836-699E-46E5-B012-BA0696835641}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6" w:fontKey="{D111A716-97CA-48E4-A556-302EE1066433}"/>
  </w:font>
  <w:font w:name="等线">
    <w:panose1 w:val="02010600030101010101"/>
    <w:charset w:val="86"/>
    <w:family w:val="roman"/>
    <w:pitch w:val="default"/>
    <w:sig w:usb0="A00002BF" w:usb1="38CF7CFA" w:usb2="00000016" w:usb3="00000000" w:csb0="0004000F" w:csb1="00000000"/>
    <w:embedRegular r:id="rId7" w:fontKey="{2F993698-C149-4587-BCDD-219606410C1B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8" w:fontKey="{E81A7717-4277-4E77-B0D5-B0B83A2A86F4}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7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GLQur/TAQAAngMAAA4AAABkcnMvZTJvRG9jLnhtbK1TS27bMBDdF+gd&#10;CO5ryUbRuILlIICRokDRBkhzAJqiLAL8YYa25B6gvUFX3XTfc/kcHVKyU6SbLLKhZjjkm/ceR6vr&#10;wRp2UIDau5rPZyVnyknfaLer+cPX2zdLzjAK1wjjnar5USG/Xr9+tepDpRa+86ZRwAjEYdWHmncx&#10;hqooUHbKCpz5oBwVWw9WREphVzQgekK3pliU5bui99AE8FIh0u5mLPIJEZ4D6NtWS7Xxcm+ViyMq&#10;KCMiScJOB+TrzLZtlYxf2hZVZKbmpDTmlZpQvE1rsV6JagcidFpOFMRzKDzRZIV21PQCtRFRsD3o&#10;/6CsluDRt3EmvS1GIdkRUjEvn3hz34mgshayGsPFdHw5WPn5cAdMNzV/W76/4swJS29++vnj9OvP&#10;6fd3dpUc6gNWdPA+3MGUIYVJ7tCCTV8Swobs6vHiqhoik7Q5Xy6Wy5IMl1Q7J4RTPF4PgPGD8pal&#10;oOZAz5bdFIdPGMej5yOpm3Fpdf5WGzNW006RaI7EUhSH7TCx3frmSCpp6Am88/CNs56evOaOJpwz&#10;89GRo2k6zgGcg+05EE7SxZpHzvYB9K7Lk5RoYLjZR6KSeabGY7eJDz1bVjqNWJqLf/N86vG3Wv8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uXW5UtAAAAAFAQAADwAAAAAAAAABACAAAAAiAAAAZHJz&#10;L2Rvd25yZXYueG1sUEsBAhQAFAAAAAgAh07iQGLQur/TAQAAngMAAA4AAAAAAAAAAQAgAAAAHwEA&#10;AGRycy9lMm9Eb2MueG1sUEsFBgAAAAAGAAYAWQEAAGQ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both"/>
      <w:rPr>
        <w:rFonts w:hint="default" w:ascii="宋体" w:hAnsi="宋体" w:eastAsia="宋体" w:cs="宋体"/>
        <w:sz w:val="28"/>
        <w:szCs w:val="28"/>
        <w:lang w:val="en-US"/>
      </w:rPr>
    </w:pPr>
    <w:r>
      <w:rPr>
        <w:sz w:val="2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8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"/>
                          </w:pP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5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Hs4EwfRAQAAngMAAA4AAABkcnMvZTJvRG9jLnhtbK1TS47TQBDdI3GH&#10;Vu+JnQhQsOKMkKJBSAhGGjhAp92OW+qfqjqxwwHgBqzYsOdcOQfVbTuDhs0s2LSr+vPqvVflzc1g&#10;DTspQO1dzZeLkjPlpG+0O9T8y+fbF2vOMArXCOOdqvlZIb/ZPn+26UOlVr7zplHACMRh1YeadzGG&#10;qihQdsoKXPigHB22HqyIlMKhaED0hG5NsSrL10XvoQngpUKk3d14yCdEeAqgb1st1c7Lo1Uujqig&#10;jIgkCTsdkG8z27ZVMn5qW1SRmZqT0phXKkLxPq3FdiOqA4jQaTlREE+h8EiTFdpR0SvUTkTBjqD/&#10;gbJagkffxoX0thiFZEdIxbJ85M19J4LKWshqDFfT8f/Byo+nO2C6qfnL8g113glLPb/8+H75+fvy&#10;6xt7lRzqA1Z08T7cwZQhhUnu0IJNXxLChuzq+eqqGiKTtLlcr9brkgyXdDYnhFM8PA+A8Z3ylqWg&#10;5kBty26K0weM49X5SqpmXFqdv9XGjKdpp0g0R2IpisN+mNjufXMmlTT0BN55+MpZTy2vuaMJ58y8&#10;d+Romo45gDnYz4Fwkh7WPHJ2DKAPXZ6kRAPD22MkKplnKjxWm/hQ27LSacTSXPyd51sPv9X2D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Ll1uVLQAAAABQEAAA8AAAAAAAAAAQAgAAAAIgAAAGRycy9k&#10;b3ducmV2LnhtbFBLAQIUABQAAAAIAIdO4kB7OBMH0QEAAJ4DAAAOAAAAAAAAAAEAIAAAAB8BAABk&#10;cnMvZTJvRG9jLnhtbFBLBQYAAAAABgAGAFkBAABi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</w:pPr>
                  </w:p>
                </w:txbxContent>
              </v:textbox>
            </v:rect>
          </w:pict>
        </mc:Fallback>
      </mc:AlternateContent>
    </w:r>
  </w:p>
  <w:p>
    <w:pPr>
      <w:pStyle w:val="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both"/>
      <w:rPr>
        <w:rFonts w:hint="default" w:ascii="宋体" w:hAnsi="宋体" w:eastAsia="宋体" w:cs="宋体"/>
        <w:sz w:val="28"/>
        <w:szCs w:val="28"/>
        <w:lang w:val="en-US"/>
      </w:rPr>
    </w:pPr>
    <w:r>
      <w:rPr>
        <w:sz w:val="2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9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- 1 -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6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AYUJYjTAQAAngMAAA4AAABkcnMvZTJvRG9jLnhtbK1TS27bMBDdF+gd&#10;CO5ryUYROIblIICRoEDRBkh7AJqiLAL8YYa25B6gvUFX3XTfc/kcHVKSE6SbLLqhZjjkm/ceR+ub&#10;3hp2VIDau4rPZyVnyklfa7ev+Ncvd++WnGEUrhbGO1Xxk0J+s3n7Zt2FlVr41ptaASMQh6suVLyN&#10;MayKAmWrrMCZD8pRsfFgRaQU9kUNoiN0a4pFWV4VnYc6gJcKkXa3Q5GPiPAaQN80WqqtlwerXBxQ&#10;QRkRSRK2OiDfZLZNo2T83DSoIjMVJ6Uxr9SE4l1ai81arPYgQqvlSEG8hsILTVZoR00vUFsRBTuA&#10;/gfKagkefRNn0ttiEJIdIRXz8oU3j60IKmshqzFcTMf/Bys/HR+A6bri78vra86csPTm558/zr/+&#10;nH9/Z1fJoS7gig4+hgcYM6Qwye0bsOlLQlifXT1dXFV9ZJI258vFclmS4ZJqU0I4xdP1ABjvlbcs&#10;BRUHerbspjh+xDgcnY6kbsal1fk7bcxQTTtFojkQS1Hsd/3IdufrE6mkoSfw1sM3zjp68oo7mnDO&#10;zAdHjqbpmAKYgt0UCCfpYsUjZ4cAet/mSUo0MNweIlHJPFPjodvIh54tKx1HLM3F8zyfevqtN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uXW5UtAAAAAFAQAADwAAAAAAAAABACAAAAAiAAAAZHJz&#10;L2Rvd25yZXYueG1sUEsBAhQAFAAAAAgAh07iQAYUJYjTAQAAngMAAA4AAAAAAAAAAQAgAAAAHwEA&#10;AGRycy9lMm9Eb2MueG1sUEsFBgAAAAAGAAYAWQEAAGQ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- 1 -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  <w:p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singleLevel"/>
    <w:tmpl w:val="00000000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djMTI5MzI2MjM3MTJkMjlkY2U3ZTcxZGI4NTk5NTcifQ=="/>
  </w:docVars>
  <w:rsids>
    <w:rsidRoot w:val="00000000"/>
    <w:rsid w:val="064C1097"/>
    <w:rsid w:val="0C041DF4"/>
    <w:rsid w:val="0FBD50BE"/>
    <w:rsid w:val="13CF569C"/>
    <w:rsid w:val="16CD3CF4"/>
    <w:rsid w:val="1C6818FF"/>
    <w:rsid w:val="1C8235BE"/>
    <w:rsid w:val="1F3A7D0E"/>
    <w:rsid w:val="1F5570C1"/>
    <w:rsid w:val="20760FA9"/>
    <w:rsid w:val="2A7725E1"/>
    <w:rsid w:val="381424AC"/>
    <w:rsid w:val="3AA82343"/>
    <w:rsid w:val="3D2C1009"/>
    <w:rsid w:val="3F2EFFC0"/>
    <w:rsid w:val="4071585A"/>
    <w:rsid w:val="47814D95"/>
    <w:rsid w:val="49AF55C2"/>
    <w:rsid w:val="52861A51"/>
    <w:rsid w:val="578B6FE9"/>
    <w:rsid w:val="59413C36"/>
    <w:rsid w:val="6EC707D9"/>
    <w:rsid w:val="71E779C8"/>
    <w:rsid w:val="73CE61F9"/>
    <w:rsid w:val="742942F7"/>
    <w:rsid w:val="7A150154"/>
    <w:rsid w:val="AD7D9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</w:pPr>
    <w:rPr>
      <w:rFonts w:ascii="Arial" w:hAnsi="Arial" w:eastAsia="宋体" w:cs="Arial"/>
      <w:color w:val="000000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1"/>
    <w:pPr>
      <w:ind w:right="57"/>
      <w:jc w:val="center"/>
      <w:outlineLvl w:val="1"/>
    </w:pPr>
    <w:rPr>
      <w:sz w:val="36"/>
      <w:szCs w:val="36"/>
    </w:rPr>
  </w:style>
  <w:style w:type="paragraph" w:styleId="4">
    <w:name w:val="heading 3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/>
    </w:rPr>
  </w:style>
  <w:style w:type="character" w:default="1" w:styleId="14">
    <w:name w:val="Default Paragraph Font"/>
    <w:qFormat/>
    <w:uiPriority w:val="1"/>
  </w:style>
  <w:style w:type="table" w:default="1" w:styleId="12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</w:style>
  <w:style w:type="paragraph" w:styleId="6">
    <w:name w:val="Body Text"/>
    <w:basedOn w:val="1"/>
    <w:qFormat/>
    <w:uiPriority w:val="1"/>
    <w:pPr>
      <w:ind w:left="412"/>
    </w:pPr>
    <w:rPr>
      <w:sz w:val="32"/>
      <w:szCs w:val="32"/>
    </w:rPr>
  </w:style>
  <w:style w:type="paragraph" w:styleId="7">
    <w:name w:val="toc 3"/>
    <w:basedOn w:val="1"/>
    <w:next w:val="1"/>
    <w:qFormat/>
    <w:uiPriority w:val="39"/>
    <w:pPr>
      <w:widowControl w:val="0"/>
      <w:kinsoku/>
      <w:autoSpaceDE/>
      <w:autoSpaceDN/>
      <w:adjustRightInd/>
      <w:snapToGrid/>
      <w:ind w:left="840" w:leftChars="400"/>
      <w:jc w:val="both"/>
    </w:pPr>
    <w:rPr>
      <w:rFonts w:ascii="Calibri" w:hAnsi="Calibri" w:cs="宋体"/>
      <w:color w:val="auto"/>
      <w:kern w:val="2"/>
      <w:szCs w:val="22"/>
      <w14:ligatures w14:val="none"/>
    </w:rPr>
  </w:style>
  <w:style w:type="paragraph" w:styleId="8">
    <w:name w:val="footer"/>
    <w:basedOn w:val="1"/>
    <w:qFormat/>
    <w:uiPriority w:val="99"/>
    <w:pPr>
      <w:widowControl w:val="0"/>
      <w:tabs>
        <w:tab w:val="center" w:pos="4153"/>
        <w:tab w:val="right" w:pos="8306"/>
      </w:tabs>
      <w:kinsoku/>
      <w:autoSpaceDE/>
      <w:autoSpaceDN/>
      <w:adjustRightInd/>
    </w:pPr>
    <w:rPr>
      <w:rFonts w:ascii="Calibri" w:hAnsi="Calibri" w:cs="宋体"/>
      <w:color w:val="auto"/>
      <w:kern w:val="2"/>
      <w:sz w:val="18"/>
      <w:szCs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0">
    <w:name w:val="toc 1"/>
    <w:basedOn w:val="1"/>
    <w:next w:val="1"/>
    <w:qFormat/>
    <w:uiPriority w:val="39"/>
    <w:pPr>
      <w:tabs>
        <w:tab w:val="right" w:leader="dot" w:pos="8296"/>
      </w:tabs>
      <w:jc w:val="center"/>
    </w:pPr>
    <w:rPr>
      <w:rFonts w:ascii="宋体" w:hAnsi="宋体" w:eastAsia="宋体"/>
      <w:b/>
      <w:bCs/>
      <w:sz w:val="32"/>
      <w:szCs w:val="32"/>
    </w:rPr>
  </w:style>
  <w:style w:type="paragraph" w:styleId="11">
    <w:name w:val="toc 2"/>
    <w:basedOn w:val="1"/>
    <w:next w:val="1"/>
    <w:qFormat/>
    <w:uiPriority w:val="39"/>
    <w:pPr>
      <w:ind w:left="420" w:leftChars="200"/>
    </w:pPr>
  </w:style>
  <w:style w:type="table" w:styleId="13">
    <w:name w:val="Table Grid"/>
    <w:basedOn w:val="1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basedOn w:val="14"/>
    <w:qFormat/>
    <w:uiPriority w:val="0"/>
    <w:rPr>
      <w:b/>
    </w:rPr>
  </w:style>
  <w:style w:type="character" w:styleId="16">
    <w:name w:val="Hyperlink"/>
    <w:basedOn w:val="14"/>
    <w:qFormat/>
    <w:uiPriority w:val="99"/>
    <w:rPr>
      <w:color w:val="0026E5"/>
      <w:u w:val="single"/>
    </w:rPr>
  </w:style>
  <w:style w:type="character" w:styleId="17">
    <w:name w:val="annotation reference"/>
    <w:basedOn w:val="14"/>
    <w:qFormat/>
    <w:uiPriority w:val="0"/>
    <w:rPr>
      <w:sz w:val="21"/>
      <w:szCs w:val="21"/>
    </w:rPr>
  </w:style>
  <w:style w:type="paragraph" w:customStyle="1" w:styleId="18">
    <w:name w:val="常规正文"/>
    <w:basedOn w:val="1"/>
    <w:qFormat/>
    <w:uiPriority w:val="0"/>
    <w:pPr>
      <w:ind w:firstLine="640" w:firstLineChars="200"/>
    </w:pPr>
    <w:rPr>
      <w:rFonts w:ascii="仿宋" w:hAnsi="仿宋" w:eastAsia="仿宋"/>
      <w:sz w:val="32"/>
      <w:szCs w:val="32"/>
    </w:rPr>
  </w:style>
  <w:style w:type="paragraph" w:customStyle="1" w:styleId="19">
    <w:name w:val="TOC 标题1"/>
    <w:basedOn w:val="2"/>
    <w:next w:val="1"/>
    <w:qFormat/>
    <w:uiPriority w:val="39"/>
    <w:pPr>
      <w:kinsoku/>
      <w:autoSpaceDE/>
      <w:autoSpaceDN/>
      <w:adjustRightInd/>
      <w:snapToGrid/>
      <w:spacing w:before="240" w:after="0" w:line="259" w:lineRule="auto"/>
      <w:outlineLvl w:val="9"/>
    </w:pPr>
    <w:rPr>
      <w:rFonts w:ascii="Calibri Light" w:hAnsi="Calibri Light" w:eastAsia="宋体" w:cs="宋体"/>
      <w:b w:val="0"/>
      <w:bCs w:val="0"/>
      <w:color w:val="2E54A1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fd2c6037-0a4a-452a-b342-0c97dbbdb69b</errorID>
      <errorWord xmlns="http://schemas.wps.cn/vas-ai-hub/contract-review">心脏骤停</errorWord>
      <group xmlns="http://schemas.wps.cn/vas-ai-hub/contract-review">L1_Knowledge</group>
      <groupName xmlns="http://schemas.wps.cn/vas-ai-hub/contract-review">知识性问题</groupName>
      <ability xmlns="http://schemas.wps.cn/vas-ai-hub/contract-review">L2_Term</ability>
      <abilityName xmlns="http://schemas.wps.cn/vas-ai-hub/contract-review">专业术语</abilityName>
      <candidateList xmlns="http://schemas.wps.cn/vas-ai-hub/contract-review">
        <item xmlns="http://schemas.wps.cn/vas-ai-hub/contract-review">心搏骤停</item>
      </candidateList>
      <explain xmlns="http://schemas.wps.cn/vas-ai-hub/contract-review">医学名词[心脏骤停]为不规范表述或旧称，其规范书面表述为[心搏骤停]。</explain>
      <paraID xmlns="http://schemas.wps.cn/vas-ai-hub/contract-review">4C3F50B2</paraID>
      <start xmlns="http://schemas.wps.cn/vas-ai-hub/contract-review">32</start>
      <end xmlns="http://schemas.wps.cn/vas-ai-hub/contract-review">36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b85760cb-e89b-499f-b982-1cd47d4fc0f9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74BED675</paraID>
      <start xmlns="http://schemas.wps.cn/vas-ai-hub/contract-review">9</start>
      <end xmlns="http://schemas.wps.cn/vas-ai-hub/contract-review">10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f0082ffd-04a8-4f66-99f1-fe0658ee7238</errorID>
      <errorWord xmlns="http://schemas.wps.cn/vas-ai-hub/contract-review">（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</ability>
      <abilityName xmlns="http://schemas.wps.cn/vas-ai-hub/contract-review">全半角检查</abilityName>
      <candidateList xmlns="http://schemas.wps.cn/vas-ai-hub/contract-review">
        <item xmlns="http://schemas.wps.cn/vas-ai-hub/contract-review">(</item>
      </candidateList>
      <explain xmlns="http://schemas.wps.cn/vas-ai-hub/contract-review">文本全半角错误。</explain>
      <paraID xmlns="http://schemas.wps.cn/vas-ai-hub/contract-review">10C81EC4</paraID>
      <start xmlns="http://schemas.wps.cn/vas-ai-hub/contract-review">0</start>
      <end xmlns="http://schemas.wps.cn/vas-ai-hub/contract-review">1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9dc24c99-0585-4493-9229-f8e97a3064dd</errorID>
      <errorWord xmlns="http://schemas.wps.cn/vas-ai-hub/contract-review">）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</ability>
      <abilityName xmlns="http://schemas.wps.cn/vas-ai-hub/contract-review">全半角检查</abilityName>
      <candidateList xmlns="http://schemas.wps.cn/vas-ai-hub/contract-review">
        <item xmlns="http://schemas.wps.cn/vas-ai-hub/contract-review">)</item>
      </candidateList>
      <explain xmlns="http://schemas.wps.cn/vas-ai-hub/contract-review">文本全半角错误。</explain>
      <paraID xmlns="http://schemas.wps.cn/vas-ai-hub/contract-review">10C81EC4</paraID>
      <start xmlns="http://schemas.wps.cn/vas-ai-hub/contract-review">4</start>
      <end xmlns="http://schemas.wps.cn/vas-ai-hub/contract-review">5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921f86e3-9698-4566-abd6-b81856cda422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7B3EDFF9</paraID>
      <start xmlns="http://schemas.wps.cn/vas-ai-hub/contract-review">73</start>
      <end xmlns="http://schemas.wps.cn/vas-ai-hub/contract-review">74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e3f422fd-cb9f-4b46-a094-f65de3bedc84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4A967178</paraID>
      <start xmlns="http://schemas.wps.cn/vas-ai-hub/contract-review">59</start>
      <end xmlns="http://schemas.wps.cn/vas-ai-hub/contract-review">60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a5603050-63e9-4901-bac5-430a7cc3c020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25E3599B</paraID>
      <start xmlns="http://schemas.wps.cn/vas-ai-hub/contract-review">40</start>
      <end xmlns="http://schemas.wps.cn/vas-ai-hub/contract-review">41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c30b8380-7da3-4d09-a9c8-1587fac026c6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583B7C40</paraID>
      <start xmlns="http://schemas.wps.cn/vas-ai-hub/contract-review">27</start>
      <end xmlns="http://schemas.wps.cn/vas-ai-hub/contract-review">28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65dff7e5-f8d9-4ed0-bf06-85f9bdd22464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79D8D044</paraID>
      <start xmlns="http://schemas.wps.cn/vas-ai-hub/contract-review">45</start>
      <end xmlns="http://schemas.wps.cn/vas-ai-hub/contract-review">46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d2a39a89-e45c-4d03-b9ec-82e18b12ea0a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37C79F12</paraID>
      <start xmlns="http://schemas.wps.cn/vas-ai-hub/contract-review">31</start>
      <end xmlns="http://schemas.wps.cn/vas-ai-hub/contract-review">32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101571d4-3756-49ad-b14d-caa21182a069</errorID>
      <errorWord xmlns="http://schemas.wps.cn/vas-ai-hub/contract-review">力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力和</item>
      </candidateList>
      <explain xmlns="http://schemas.wps.cn/vas-ai-hub/contract-review"/>
      <paraID xmlns="http://schemas.wps.cn/vas-ai-hub/contract-review">274324DC</paraID>
      <start xmlns="http://schemas.wps.cn/vas-ai-hub/contract-review">24</start>
      <end xmlns="http://schemas.wps.cn/vas-ai-hub/contract-review">25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15c6358c-7f1c-4553-892f-68638d5d89f3</errorID>
      <errorWord xmlns="http://schemas.wps.cn/vas-ai-hub/contract-review">啰嗦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啰唆</item>
      </candidateList>
      <explain xmlns="http://schemas.wps.cn/vas-ai-hub/contract-review"/>
      <paraID xmlns="http://schemas.wps.cn/vas-ai-hub/contract-review">41B6568B</paraID>
      <start xmlns="http://schemas.wps.cn/vas-ai-hub/contract-review">74</start>
      <end xmlns="http://schemas.wps.cn/vas-ai-hub/contract-review">76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1dd53a9b-4537-4a87-a748-69f218ebaf67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7C195B8A</paraID>
      <start xmlns="http://schemas.wps.cn/vas-ai-hub/contract-review">41</start>
      <end xmlns="http://schemas.wps.cn/vas-ai-hub/contract-review">42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0723fde8-c160-484e-92fa-665955c908e4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69812132</paraID>
      <start xmlns="http://schemas.wps.cn/vas-ai-hub/contract-review">44</start>
      <end xmlns="http://schemas.wps.cn/vas-ai-hub/contract-review">45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ecf4b3d7-f4f2-4f89-a875-3ae0d9bedf9a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69812132</paraID>
      <start xmlns="http://schemas.wps.cn/vas-ai-hub/contract-review">56</start>
      <end xmlns="http://schemas.wps.cn/vas-ai-hub/contract-review">57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d8c80cc8-a885-473a-b03f-ec21f36bb51b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69812132</paraID>
      <start xmlns="http://schemas.wps.cn/vas-ai-hub/contract-review">67</start>
      <end xmlns="http://schemas.wps.cn/vas-ai-hub/contract-review">68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e4c629ff-9ad5-4e07-8a8e-cead2d8fbe1d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4ED1C645</paraID>
      <start xmlns="http://schemas.wps.cn/vas-ai-hub/contract-review">44</start>
      <end xmlns="http://schemas.wps.cn/vas-ai-hub/contract-review">45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f33ee66e-7c9b-4be4-81d5-5abacc23f12f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4ED1C645</paraID>
      <start xmlns="http://schemas.wps.cn/vas-ai-hub/contract-review">55</start>
      <end xmlns="http://schemas.wps.cn/vas-ai-hub/contract-review">56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198d2e18-c1c5-45a0-9061-d7a88c3a078b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21971A49</paraID>
      <start xmlns="http://schemas.wps.cn/vas-ai-hub/contract-review">48</start>
      <end xmlns="http://schemas.wps.cn/vas-ai-hub/contract-review">49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6564e855-37d0-43f9-9084-26766d394282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21971A49</paraID>
      <start xmlns="http://schemas.wps.cn/vas-ai-hub/contract-review">60</start>
      <end xmlns="http://schemas.wps.cn/vas-ai-hub/contract-review">61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dbf470cb-fa35-40ec-942a-6507c2b99a4b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21971A49</paraID>
      <start xmlns="http://schemas.wps.cn/vas-ai-hub/contract-review">70</start>
      <end xmlns="http://schemas.wps.cn/vas-ai-hub/contract-review">71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3701d72f-b54a-4a1a-bd94-4cea9fc29c74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 8CDB21F</paraID>
      <start xmlns="http://schemas.wps.cn/vas-ai-hub/contract-review">46</start>
      <end xmlns="http://schemas.wps.cn/vas-ai-hub/contract-review">47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62525fe8-cf0d-4ad9-b10e-ba97a11c3ace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 8CDB21F</paraID>
      <start xmlns="http://schemas.wps.cn/vas-ai-hub/contract-review">56</start>
      <end xmlns="http://schemas.wps.cn/vas-ai-hub/contract-review">57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6623b054-e186-4c07-bdd0-2d900a68e9c6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 8CDB21F</paraID>
      <start xmlns="http://schemas.wps.cn/vas-ai-hub/contract-review">68</start>
      <end xmlns="http://schemas.wps.cn/vas-ai-hub/contract-review">69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66ea0ffb-2106-4df2-b8ab-e185ae7fccee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50D5F8EA</paraID>
      <start xmlns="http://schemas.wps.cn/vas-ai-hub/contract-review">38</start>
      <end xmlns="http://schemas.wps.cn/vas-ai-hub/contract-review">39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63429353-d1d8-4573-aaa9-e697e7108b28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50D5F8EA</paraID>
      <start xmlns="http://schemas.wps.cn/vas-ai-hub/contract-review">58</start>
      <end xmlns="http://schemas.wps.cn/vas-ai-hub/contract-review">59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07f81dce-6b08-4c17-b1ac-7359ba6419f0</errorID>
      <errorWord xmlns="http://schemas.wps.cn/vas-ai-hub/contract-review">精炼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精练</item>
      </candidateList>
      <explain xmlns="http://schemas.wps.cn/vas-ai-hub/contract-review">存在发音相同字词的误用。</explain>
      <paraID xmlns="http://schemas.wps.cn/vas-ai-hub/contract-review">45AC95AA</paraID>
      <start xmlns="http://schemas.wps.cn/vas-ai-hub/contract-review">24</start>
      <end xmlns="http://schemas.wps.cn/vas-ai-hub/contract-review">26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35875c92-ce99-475f-b355-1e39874e1b24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45AC95AA</paraID>
      <start xmlns="http://schemas.wps.cn/vas-ai-hub/contract-review">36</start>
      <end xmlns="http://schemas.wps.cn/vas-ai-hub/contract-review">37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f8b16e09-e9b3-486f-b396-6c220c58540c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45AC95AA</paraID>
      <start xmlns="http://schemas.wps.cn/vas-ai-hub/contract-review">51</start>
      <end xmlns="http://schemas.wps.cn/vas-ai-hub/contract-review">52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b6e41698-d505-45d1-93b3-1543b7a33241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45AC95AA</paraID>
      <start xmlns="http://schemas.wps.cn/vas-ai-hub/contract-review">63</start>
      <end xmlns="http://schemas.wps.cn/vas-ai-hub/contract-review">64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978ff35c-d7cc-4b3d-a62a-2a0a602fa36c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301A10E7</paraID>
      <start xmlns="http://schemas.wps.cn/vas-ai-hub/contract-review">44</start>
      <end xmlns="http://schemas.wps.cn/vas-ai-hub/contract-review">45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07286881-f603-42dc-b814-ad6c14c11279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301A10E7</paraID>
      <start xmlns="http://schemas.wps.cn/vas-ai-hub/contract-review">63</start>
      <end xmlns="http://schemas.wps.cn/vas-ai-hub/contract-review">64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f9287776-0b5b-41e6-9e3c-aa1593ff0f1a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751358ED</paraID>
      <start xmlns="http://schemas.wps.cn/vas-ai-hub/contract-review">38</start>
      <end xmlns="http://schemas.wps.cn/vas-ai-hub/contract-review">39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d8bdad12-a32e-4ea1-ad32-42e514967856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2D3CCD07</paraID>
      <start xmlns="http://schemas.wps.cn/vas-ai-hub/contract-review">41</start>
      <end xmlns="http://schemas.wps.cn/vas-ai-hub/contract-review">42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54419e3e-6935-44fe-a301-679a71c0b623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273B24D5</paraID>
      <start xmlns="http://schemas.wps.cn/vas-ai-hub/contract-review">28</start>
      <end xmlns="http://schemas.wps.cn/vas-ai-hub/contract-review">29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2431e72e-abdd-4433-b5d7-ec64debf1652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273B24D5</paraID>
      <start xmlns="http://schemas.wps.cn/vas-ai-hub/contract-review">43</start>
      <end xmlns="http://schemas.wps.cn/vas-ai-hub/contract-review">44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cc0cb9fb-466b-4f98-a88c-9d4b65708242</errorID>
      <errorWord xmlns="http://schemas.wps.cn/vas-ai-hub/contract-review">、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、具</item>
      </candidateList>
      <explain xmlns="http://schemas.wps.cn/vas-ai-hub/contract-review"/>
      <paraID xmlns="http://schemas.wps.cn/vas-ai-hub/contract-review">3EDBC007</paraID>
      <start xmlns="http://schemas.wps.cn/vas-ai-hub/contract-review">22</start>
      <end xmlns="http://schemas.wps.cn/vas-ai-hub/contract-review">23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f3308dc7-989b-46bb-89e9-27dab2b7b89f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3EDBC007</paraID>
      <start xmlns="http://schemas.wps.cn/vas-ai-hub/contract-review">38</start>
      <end xmlns="http://schemas.wps.cn/vas-ai-hub/contract-review">39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893570ac-f950-4e7c-8695-1b904d77be1c</errorID>
      <errorWord xmlns="http://schemas.wps.cn/vas-ai-hub/contract-review">-</errorWord>
      <group xmlns="http://schemas.wps.cn/vas-ai-hub/contract-review">L1_Punc</group>
      <groupName xmlns="http://schemas.wps.cn/vas-ai-hub/contract-review">标点问题</groupName>
      <ability xmlns="http://schemas.wps.cn/vas-ai-hub/contract-review">L2_Punc</ability>
      <abilityName xmlns="http://schemas.wps.cn/vas-ai-hub/contract-review">标点符号检查</abilityName>
      <candidateList xmlns="http://schemas.wps.cn/vas-ai-hub/contract-review">
        <item xmlns="http://schemas.wps.cn/vas-ai-hub/contract-review">—</item>
      </candidateList>
      <explain xmlns="http://schemas.wps.cn/vas-ai-hub/contract-review"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 xmlns="http://schemas.wps.cn/vas-ai-hub/contract-review">1DFADFB5</paraID>
      <start xmlns="http://schemas.wps.cn/vas-ai-hub/contract-review">47</start>
      <end xmlns="http://schemas.wps.cn/vas-ai-hub/contract-review">48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0a1b574-eab9-4873-9981-f6045ecccb2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2976</Words>
  <Characters>3083</Characters>
  <Lines>0</Lines>
  <Paragraphs>616</Paragraphs>
  <TotalTime>105</TotalTime>
  <ScaleCrop>false</ScaleCrop>
  <LinksUpToDate>false</LinksUpToDate>
  <CharactersWithSpaces>3093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2026-03-01T09:25:00Z</dcterms:created>
  <dc:creator>Administrator</dc:creator>
  <cp:lastModifiedBy>Administrator</cp:lastModifiedBy>
  <cp:lastPrinted>2026-03-16T07:21:39Z</cp:lastPrinted>
  <dcterms:modified xsi:type="dcterms:W3CDTF">2026-03-17T06:27:43Z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KSOTemplateDocerSaveRecord">
    <vt:lpwstr>eyJoZGlkIjoiNWM0NTBlNDhkODQyNTkxYzllYWU1NzE0MWMzYjg5YjUifQ==</vt:lpwstr>
  </property>
  <property fmtid="{D5CDD505-2E9C-101B-9397-08002B2CF9AE}" pid="4" name="ICV">
    <vt:lpwstr>56766EFB2F2E4FE493B6BEAF12AFBDEF_13</vt:lpwstr>
  </property>
</Properties>
</file>