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rPr>
          <w:rFonts w:hint="eastAsia"/>
        </w:rPr>
        <w:t>附件4</w:t>
      </w:r>
    </w:p>
    <w:p>
      <w:pPr>
        <w:jc w:val="center"/>
        <w:rPr>
          <w:rFonts w:hint="eastAsia" w:ascii="黑体" w:hAnsi="黑体" w:eastAsia="黑体"/>
          <w:bCs/>
          <w:sz w:val="36"/>
          <w:szCs w:val="36"/>
        </w:rPr>
      </w:pPr>
      <w:r>
        <w:rPr>
          <w:rFonts w:hint="eastAsia" w:ascii="黑体" w:hAnsi="黑体" w:eastAsia="黑体"/>
          <w:bCs/>
          <w:sz w:val="36"/>
          <w:szCs w:val="36"/>
        </w:rPr>
        <w:t>承德医学院</w:t>
      </w:r>
    </w:p>
    <w:p>
      <w:pPr>
        <w:jc w:val="center"/>
        <w:rPr>
          <w:rFonts w:ascii="黑体" w:hAnsi="黑体" w:eastAsia="黑体"/>
          <w:bCs/>
          <w:sz w:val="36"/>
          <w:szCs w:val="36"/>
        </w:rPr>
      </w:pPr>
      <w:r>
        <w:rPr>
          <w:rFonts w:hint="eastAsia" w:ascii="黑体" w:hAnsi="黑体" w:eastAsia="黑体"/>
          <w:bCs/>
          <w:sz w:val="36"/>
          <w:szCs w:val="36"/>
        </w:rPr>
        <w:t>课程思政教学设计评分标准</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1"/>
        <w:gridCol w:w="842"/>
        <w:gridCol w:w="5936"/>
        <w:gridCol w:w="9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3" w:type="dxa"/>
            <w:gridSpan w:val="2"/>
            <w:vAlign w:val="center"/>
          </w:tcPr>
          <w:p>
            <w:pPr>
              <w:spacing w:line="360" w:lineRule="auto"/>
              <w:jc w:val="center"/>
              <w:rPr>
                <w:rFonts w:ascii="黑体" w:hAnsi="黑体" w:eastAsia="黑体" w:cs="宋体"/>
                <w:b/>
                <w:bCs/>
                <w:szCs w:val="21"/>
              </w:rPr>
            </w:pPr>
            <w:r>
              <w:rPr>
                <w:rFonts w:hint="eastAsia" w:ascii="黑体" w:hAnsi="黑体" w:eastAsia="黑体" w:cs="宋体"/>
                <w:b/>
                <w:bCs/>
                <w:szCs w:val="21"/>
              </w:rPr>
              <w:t>评价指标</w:t>
            </w:r>
          </w:p>
        </w:tc>
        <w:tc>
          <w:tcPr>
            <w:tcW w:w="5936" w:type="dxa"/>
            <w:vAlign w:val="center"/>
          </w:tcPr>
          <w:p>
            <w:pPr>
              <w:spacing w:line="360" w:lineRule="auto"/>
              <w:jc w:val="center"/>
              <w:rPr>
                <w:rFonts w:ascii="黑体" w:hAnsi="黑体" w:eastAsia="黑体" w:cs="宋体"/>
                <w:b/>
                <w:bCs/>
                <w:szCs w:val="21"/>
              </w:rPr>
            </w:pPr>
            <w:r>
              <w:rPr>
                <w:rFonts w:hint="eastAsia" w:ascii="黑体" w:hAnsi="黑体" w:eastAsia="黑体" w:cs="宋体"/>
                <w:b/>
                <w:bCs/>
                <w:szCs w:val="21"/>
              </w:rPr>
              <w:t>参考标准</w:t>
            </w:r>
          </w:p>
        </w:tc>
        <w:tc>
          <w:tcPr>
            <w:tcW w:w="683" w:type="dxa"/>
            <w:vAlign w:val="center"/>
          </w:tcPr>
          <w:p>
            <w:pPr>
              <w:spacing w:line="360" w:lineRule="auto"/>
              <w:jc w:val="center"/>
              <w:rPr>
                <w:rFonts w:hint="eastAsia" w:ascii="黑体" w:hAnsi="黑体" w:eastAsia="黑体" w:cs="宋体"/>
                <w:b/>
                <w:bCs/>
                <w:szCs w:val="21"/>
              </w:rPr>
            </w:pPr>
            <w:r>
              <w:rPr>
                <w:rFonts w:hint="eastAsia" w:ascii="黑体" w:hAnsi="黑体" w:eastAsia="黑体" w:cs="宋体"/>
                <w:b/>
                <w:bCs/>
                <w:szCs w:val="21"/>
              </w:rPr>
              <w:t>分值</w:t>
            </w:r>
          </w:p>
          <w:p>
            <w:pPr>
              <w:spacing w:line="360" w:lineRule="auto"/>
              <w:jc w:val="center"/>
              <w:rPr>
                <w:rFonts w:ascii="黑体" w:hAnsi="黑体" w:eastAsia="黑体" w:cs="宋体"/>
                <w:b/>
                <w:bCs/>
                <w:szCs w:val="21"/>
              </w:rPr>
            </w:pPr>
            <w:r>
              <w:rPr>
                <w:rFonts w:hint="eastAsia" w:ascii="黑体" w:hAnsi="黑体" w:eastAsia="黑体" w:cs="宋体"/>
                <w:b/>
                <w:bCs/>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3" w:type="dxa"/>
            <w:gridSpan w:val="2"/>
            <w:vAlign w:val="center"/>
          </w:tcPr>
          <w:p>
            <w:pPr>
              <w:jc w:val="center"/>
              <w:rPr>
                <w:rFonts w:ascii="黑体" w:hAnsi="黑体" w:eastAsia="黑体" w:cs="宋体"/>
                <w:b/>
                <w:bCs/>
                <w:szCs w:val="21"/>
              </w:rPr>
            </w:pPr>
            <w:r>
              <w:rPr>
                <w:rFonts w:hint="eastAsia" w:ascii="黑体" w:hAnsi="黑体" w:eastAsia="黑体" w:cs="宋体"/>
                <w:b/>
                <w:bCs/>
                <w:szCs w:val="21"/>
              </w:rPr>
              <w:t>课程思政教学目标设计</w:t>
            </w:r>
          </w:p>
        </w:tc>
        <w:tc>
          <w:tcPr>
            <w:tcW w:w="5936" w:type="dxa"/>
            <w:vAlign w:val="center"/>
          </w:tcPr>
          <w:p>
            <w:pPr>
              <w:tabs>
                <w:tab w:val="left" w:pos="312"/>
              </w:tabs>
              <w:jc w:val="left"/>
              <w:rPr>
                <w:rFonts w:ascii="宋体" w:hAnsi="宋体" w:eastAsia="宋体" w:cs="宋体"/>
                <w:szCs w:val="21"/>
              </w:rPr>
            </w:pPr>
            <w:r>
              <w:rPr>
                <w:rFonts w:hint="eastAsia" w:ascii="宋体" w:hAnsi="宋体" w:eastAsia="宋体" w:cs="宋体"/>
                <w:szCs w:val="21"/>
              </w:rPr>
              <w:t>1.体现课程立德树人总体要求，思政目标清晰、明确，契合专业特点和学生实际，可观测、可衡量、可达成。与人才培养方案相呼应，能够支撑专业毕业要求；</w:t>
            </w:r>
          </w:p>
          <w:p>
            <w:pPr>
              <w:tabs>
                <w:tab w:val="left" w:pos="312"/>
              </w:tabs>
              <w:jc w:val="left"/>
              <w:rPr>
                <w:rFonts w:hint="eastAsia" w:ascii="宋体" w:hAnsi="宋体" w:eastAsia="宋体" w:cs="宋体"/>
                <w:szCs w:val="21"/>
                <w:lang w:eastAsia="zh-CN"/>
              </w:rPr>
            </w:pPr>
            <w:r>
              <w:rPr>
                <w:rFonts w:hint="eastAsia" w:ascii="宋体" w:hAnsi="宋体" w:eastAsia="宋体" w:cs="宋体"/>
                <w:szCs w:val="21"/>
              </w:rPr>
              <w:t>2.每节课课程思政教学目标设计具体、合理，能够在现有知识与能力目标的基础上提升育人要求</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493" w:type="dxa"/>
            <w:gridSpan w:val="2"/>
            <w:vAlign w:val="center"/>
          </w:tcPr>
          <w:p>
            <w:pPr>
              <w:jc w:val="center"/>
              <w:rPr>
                <w:rFonts w:ascii="宋体" w:hAnsi="宋体" w:eastAsia="宋体" w:cs="宋体"/>
                <w:b/>
                <w:bCs/>
                <w:szCs w:val="21"/>
              </w:rPr>
            </w:pPr>
            <w:r>
              <w:rPr>
                <w:rFonts w:hint="eastAsia" w:ascii="黑体" w:hAnsi="黑体" w:eastAsia="黑体" w:cs="宋体"/>
                <w:b/>
                <w:bCs/>
                <w:szCs w:val="21"/>
              </w:rPr>
              <w:t>课程思政系统化设计</w:t>
            </w:r>
          </w:p>
        </w:tc>
        <w:tc>
          <w:tcPr>
            <w:tcW w:w="5936" w:type="dxa"/>
            <w:vAlign w:val="center"/>
          </w:tcPr>
          <w:p>
            <w:pPr>
              <w:tabs>
                <w:tab w:val="left" w:pos="312"/>
              </w:tabs>
              <w:jc w:val="left"/>
              <w:rPr>
                <w:rFonts w:ascii="宋体" w:hAnsi="宋体" w:eastAsia="宋体" w:cs="宋体"/>
                <w:szCs w:val="21"/>
              </w:rPr>
            </w:pPr>
            <w:r>
              <w:rPr>
                <w:rFonts w:hint="eastAsia" w:ascii="宋体" w:hAnsi="宋体" w:eastAsia="宋体" w:cs="宋体"/>
                <w:szCs w:val="21"/>
              </w:rPr>
              <w:t>1.符合学校办学定位、学生情况、专业人才培养要求；</w:t>
            </w:r>
          </w:p>
          <w:p>
            <w:pPr>
              <w:tabs>
                <w:tab w:val="left" w:pos="312"/>
              </w:tabs>
              <w:jc w:val="left"/>
              <w:rPr>
                <w:rFonts w:hint="eastAsia" w:ascii="宋体" w:hAnsi="宋体" w:eastAsia="宋体" w:cs="宋体"/>
                <w:szCs w:val="21"/>
                <w:lang w:eastAsia="zh-CN"/>
              </w:rPr>
            </w:pPr>
            <w:r>
              <w:rPr>
                <w:rFonts w:hint="eastAsia" w:ascii="宋体" w:hAnsi="宋体" w:eastAsia="宋体" w:cs="宋体"/>
                <w:szCs w:val="21"/>
              </w:rPr>
              <w:t>2.系统化设计内容合理，逻辑清晰，层次性强，能够达成课程培养目标的育人要求</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3" w:type="dxa"/>
            <w:gridSpan w:val="2"/>
            <w:vAlign w:val="center"/>
          </w:tcPr>
          <w:p>
            <w:pPr>
              <w:jc w:val="center"/>
              <w:rPr>
                <w:rFonts w:ascii="宋体" w:hAnsi="宋体" w:eastAsia="宋体" w:cs="宋体"/>
                <w:b/>
                <w:bCs/>
                <w:szCs w:val="21"/>
              </w:rPr>
            </w:pPr>
            <w:r>
              <w:rPr>
                <w:rFonts w:hint="eastAsia" w:ascii="黑体" w:hAnsi="黑体" w:eastAsia="黑体" w:cs="宋体"/>
                <w:b/>
                <w:bCs/>
                <w:szCs w:val="21"/>
              </w:rPr>
              <w:t>课程思政教学内容</w:t>
            </w:r>
          </w:p>
        </w:tc>
        <w:tc>
          <w:tcPr>
            <w:tcW w:w="5936" w:type="dxa"/>
            <w:vAlign w:val="center"/>
          </w:tcPr>
          <w:p>
            <w:pPr>
              <w:tabs>
                <w:tab w:val="left" w:pos="312"/>
              </w:tabs>
              <w:jc w:val="left"/>
              <w:rPr>
                <w:rFonts w:ascii="宋体" w:hAnsi="宋体" w:eastAsia="宋体" w:cs="宋体"/>
                <w:szCs w:val="21"/>
              </w:rPr>
            </w:pPr>
            <w:r>
              <w:rPr>
                <w:rFonts w:hint="eastAsia" w:ascii="宋体" w:hAnsi="宋体" w:eastAsia="宋体" w:cs="宋体"/>
                <w:szCs w:val="21"/>
              </w:rPr>
              <w:t>1.能够用马克思主义立场、观点、方法开展课程思政教学，教学内容符合教学规律及学生认知规律，启发引导性强；</w:t>
            </w:r>
          </w:p>
          <w:p>
            <w:pPr>
              <w:tabs>
                <w:tab w:val="left" w:pos="312"/>
              </w:tabs>
              <w:jc w:val="left"/>
              <w:rPr>
                <w:rFonts w:ascii="宋体" w:hAnsi="宋体" w:eastAsia="宋体" w:cs="宋体"/>
                <w:szCs w:val="21"/>
              </w:rPr>
            </w:pPr>
            <w:r>
              <w:rPr>
                <w:rFonts w:hint="eastAsia" w:ascii="宋体" w:hAnsi="宋体" w:eastAsia="宋体" w:cs="宋体"/>
                <w:szCs w:val="21"/>
              </w:rPr>
              <w:t xml:space="preserve">2.深度挖掘课程思政点，思政点自然融入专业教学，有效发挥课程思政隐性育人效果； </w:t>
            </w:r>
          </w:p>
          <w:p>
            <w:pPr>
              <w:tabs>
                <w:tab w:val="left" w:pos="312"/>
              </w:tabs>
              <w:jc w:val="left"/>
              <w:rPr>
                <w:rFonts w:hint="eastAsia" w:ascii="宋体" w:hAnsi="宋体" w:eastAsia="宋体" w:cs="宋体"/>
                <w:szCs w:val="21"/>
                <w:lang w:eastAsia="zh-CN"/>
              </w:rPr>
            </w:pPr>
            <w:r>
              <w:rPr>
                <w:rFonts w:hint="eastAsia" w:ascii="宋体" w:hAnsi="宋体" w:eastAsia="宋体" w:cs="宋体"/>
                <w:szCs w:val="21"/>
              </w:rPr>
              <w:t>3.课程思政教学资源丰富，信息量充足</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3" w:type="dxa"/>
            <w:gridSpan w:val="2"/>
            <w:vAlign w:val="center"/>
          </w:tcPr>
          <w:p>
            <w:pPr>
              <w:jc w:val="center"/>
              <w:rPr>
                <w:rFonts w:ascii="宋体" w:hAnsi="宋体" w:eastAsia="宋体" w:cs="宋体"/>
                <w:b/>
                <w:bCs/>
                <w:szCs w:val="21"/>
              </w:rPr>
            </w:pPr>
            <w:r>
              <w:rPr>
                <w:rFonts w:hint="eastAsia" w:ascii="黑体" w:hAnsi="黑体" w:eastAsia="黑体" w:cs="宋体"/>
                <w:b/>
                <w:bCs/>
                <w:szCs w:val="21"/>
              </w:rPr>
              <w:t>课程思政实现方式</w:t>
            </w:r>
          </w:p>
        </w:tc>
        <w:tc>
          <w:tcPr>
            <w:tcW w:w="5936" w:type="dxa"/>
            <w:vAlign w:val="center"/>
          </w:tcPr>
          <w:p>
            <w:pPr>
              <w:jc w:val="left"/>
              <w:rPr>
                <w:rFonts w:ascii="宋体" w:hAnsi="宋体" w:eastAsia="宋体" w:cs="宋体"/>
                <w:szCs w:val="21"/>
              </w:rPr>
            </w:pPr>
            <w:r>
              <w:rPr>
                <w:rFonts w:hint="eastAsia" w:ascii="宋体" w:hAnsi="宋体" w:eastAsia="宋体" w:cs="宋体"/>
                <w:szCs w:val="21"/>
              </w:rPr>
              <w:t>1.能够在对学生专业知识、认知特征和情感态度等方面进行精准分析的基础上科学设计课程思政教学形式；</w:t>
            </w:r>
          </w:p>
          <w:p>
            <w:pPr>
              <w:jc w:val="left"/>
              <w:rPr>
                <w:rFonts w:ascii="宋体" w:hAnsi="宋体" w:eastAsia="宋体" w:cs="宋体"/>
                <w:szCs w:val="21"/>
              </w:rPr>
            </w:pPr>
            <w:r>
              <w:rPr>
                <w:rFonts w:hint="eastAsia" w:ascii="宋体" w:hAnsi="宋体" w:eastAsia="宋体" w:cs="宋体"/>
                <w:szCs w:val="21"/>
              </w:rPr>
              <w:t>2.能够有效使用各种教学方法和手段；</w:t>
            </w:r>
          </w:p>
          <w:p>
            <w:pPr>
              <w:jc w:val="left"/>
              <w:rPr>
                <w:rFonts w:hint="eastAsia" w:ascii="宋体" w:hAnsi="宋体" w:eastAsia="宋体" w:cs="宋体"/>
                <w:szCs w:val="21"/>
                <w:lang w:eastAsia="zh-CN"/>
              </w:rPr>
            </w:pPr>
            <w:r>
              <w:rPr>
                <w:rFonts w:hint="eastAsia" w:ascii="宋体" w:hAnsi="宋体" w:eastAsia="宋体" w:cs="宋体"/>
                <w:szCs w:val="21"/>
              </w:rPr>
              <w:t>3.能够恰当使用各种评价方法促进学生提升思想境界，激发学生对科学认知、情感和理想的认同</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 w:type="dxa"/>
            <w:vMerge w:val="restart"/>
            <w:vAlign w:val="center"/>
          </w:tcPr>
          <w:p>
            <w:pPr>
              <w:jc w:val="center"/>
              <w:rPr>
                <w:rFonts w:ascii="黑体" w:hAnsi="黑体" w:eastAsia="黑体" w:cs="宋体"/>
                <w:b/>
                <w:bCs/>
                <w:szCs w:val="21"/>
              </w:rPr>
            </w:pPr>
            <w:r>
              <w:rPr>
                <w:rFonts w:ascii="黑体" w:hAnsi="黑体" w:eastAsia="黑体" w:cs="宋体"/>
                <w:b/>
                <w:bCs/>
                <w:szCs w:val="21"/>
              </w:rPr>
              <w:t>专业知识教学</w:t>
            </w:r>
          </w:p>
        </w:tc>
        <w:tc>
          <w:tcPr>
            <w:tcW w:w="842" w:type="dxa"/>
            <w:vAlign w:val="center"/>
          </w:tcPr>
          <w:p>
            <w:pPr>
              <w:jc w:val="center"/>
              <w:rPr>
                <w:rFonts w:ascii="黑体" w:hAnsi="黑体" w:eastAsia="黑体" w:cs="宋体"/>
                <w:b/>
                <w:bCs/>
                <w:szCs w:val="21"/>
              </w:rPr>
            </w:pPr>
            <w:r>
              <w:rPr>
                <w:rFonts w:hint="eastAsia" w:ascii="黑体" w:hAnsi="黑体" w:eastAsia="黑体" w:cs="宋体"/>
                <w:b/>
                <w:bCs/>
                <w:szCs w:val="21"/>
              </w:rPr>
              <w:t>内容安排</w:t>
            </w:r>
          </w:p>
        </w:tc>
        <w:tc>
          <w:tcPr>
            <w:tcW w:w="5936" w:type="dxa"/>
            <w:vAlign w:val="center"/>
          </w:tcPr>
          <w:p>
            <w:pPr>
              <w:numPr>
                <w:ilvl w:val="0"/>
                <w:numId w:val="1"/>
              </w:numPr>
              <w:jc w:val="left"/>
              <w:rPr>
                <w:rFonts w:ascii="宋体" w:hAnsi="宋体" w:eastAsia="宋体" w:cs="宋体"/>
                <w:szCs w:val="21"/>
              </w:rPr>
            </w:pPr>
            <w:r>
              <w:rPr>
                <w:rFonts w:hint="eastAsia" w:ascii="宋体" w:hAnsi="宋体" w:eastAsia="宋体" w:cs="宋体"/>
                <w:szCs w:val="21"/>
              </w:rPr>
              <w:t>恰当安排教学内容，能够较好的完成知识传授和能力培养的目标；</w:t>
            </w:r>
          </w:p>
          <w:p>
            <w:pPr>
              <w:numPr>
                <w:ilvl w:val="0"/>
                <w:numId w:val="1"/>
              </w:numPr>
              <w:ind w:left="0" w:leftChars="0" w:firstLine="0" w:firstLineChars="0"/>
              <w:jc w:val="left"/>
              <w:rPr>
                <w:rFonts w:ascii="宋体" w:hAnsi="宋体" w:eastAsia="宋体" w:cs="宋体"/>
                <w:szCs w:val="21"/>
              </w:rPr>
            </w:pPr>
            <w:r>
              <w:rPr>
                <w:rFonts w:hint="eastAsia" w:ascii="宋体" w:hAnsi="宋体" w:eastAsia="宋体" w:cs="宋体"/>
                <w:szCs w:val="21"/>
              </w:rPr>
              <w:t>体现较好的“高阶性”、“创新性”、“挑战度”</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 w:type="dxa"/>
            <w:vMerge w:val="continue"/>
            <w:vAlign w:val="center"/>
          </w:tcPr>
          <w:p>
            <w:pPr>
              <w:jc w:val="center"/>
              <w:rPr>
                <w:rFonts w:ascii="宋体" w:hAnsi="宋体" w:eastAsia="宋体" w:cs="宋体"/>
                <w:b/>
                <w:bCs/>
                <w:szCs w:val="21"/>
              </w:rPr>
            </w:pPr>
          </w:p>
        </w:tc>
        <w:tc>
          <w:tcPr>
            <w:tcW w:w="842" w:type="dxa"/>
            <w:vAlign w:val="center"/>
          </w:tcPr>
          <w:p>
            <w:pPr>
              <w:jc w:val="center"/>
              <w:rPr>
                <w:rFonts w:ascii="黑体" w:hAnsi="黑体" w:eastAsia="黑体" w:cs="宋体"/>
                <w:b/>
                <w:bCs/>
                <w:szCs w:val="21"/>
              </w:rPr>
            </w:pPr>
            <w:r>
              <w:rPr>
                <w:rFonts w:hint="eastAsia" w:ascii="黑体" w:hAnsi="黑体" w:eastAsia="黑体" w:cs="宋体"/>
                <w:b/>
                <w:bCs/>
                <w:szCs w:val="21"/>
              </w:rPr>
              <w:t>课堂设计</w:t>
            </w:r>
          </w:p>
        </w:tc>
        <w:tc>
          <w:tcPr>
            <w:tcW w:w="5936" w:type="dxa"/>
            <w:vAlign w:val="center"/>
          </w:tcPr>
          <w:p>
            <w:pPr>
              <w:jc w:val="left"/>
              <w:rPr>
                <w:rFonts w:ascii="宋体" w:hAnsi="宋体" w:eastAsia="宋体" w:cs="宋体"/>
                <w:szCs w:val="21"/>
              </w:rPr>
            </w:pPr>
            <w:r>
              <w:rPr>
                <w:rFonts w:hint="eastAsia" w:ascii="宋体" w:hAnsi="宋体" w:eastAsia="宋体" w:cs="宋体"/>
                <w:szCs w:val="21"/>
              </w:rPr>
              <w:t>1.课堂结构完整；</w:t>
            </w:r>
          </w:p>
          <w:p>
            <w:pPr>
              <w:jc w:val="left"/>
              <w:rPr>
                <w:rFonts w:ascii="宋体" w:hAnsi="宋体" w:eastAsia="宋体" w:cs="宋体"/>
                <w:szCs w:val="21"/>
              </w:rPr>
            </w:pPr>
            <w:r>
              <w:rPr>
                <w:rFonts w:hint="eastAsia" w:ascii="宋体" w:hAnsi="宋体" w:eastAsia="宋体" w:cs="宋体"/>
                <w:szCs w:val="21"/>
              </w:rPr>
              <w:t>2.每一部分内容设计合理，教学重点突出，教学难点处理得当；</w:t>
            </w:r>
          </w:p>
          <w:p>
            <w:pPr>
              <w:jc w:val="left"/>
              <w:rPr>
                <w:rFonts w:ascii="宋体" w:hAnsi="宋体" w:eastAsia="宋体" w:cs="宋体"/>
                <w:szCs w:val="21"/>
              </w:rPr>
            </w:pPr>
            <w:r>
              <w:rPr>
                <w:rFonts w:hint="eastAsia" w:ascii="宋体" w:hAnsi="宋体" w:eastAsia="宋体" w:cs="宋体"/>
                <w:szCs w:val="21"/>
              </w:rPr>
              <w:t>3.体现创新型教学设计；</w:t>
            </w:r>
          </w:p>
          <w:p>
            <w:pPr>
              <w:jc w:val="left"/>
              <w:rPr>
                <w:rFonts w:hint="eastAsia" w:ascii="宋体" w:hAnsi="宋体" w:eastAsia="宋体" w:cs="宋体"/>
                <w:szCs w:val="21"/>
                <w:lang w:eastAsia="zh-CN"/>
              </w:rPr>
            </w:pPr>
            <w:r>
              <w:rPr>
                <w:rFonts w:hint="eastAsia" w:ascii="宋体" w:hAnsi="宋体" w:eastAsia="宋体" w:cs="宋体"/>
                <w:szCs w:val="21"/>
              </w:rPr>
              <w:t>4.课程思政元素自然融入专业知识的讲授过程中，润物细无声</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 w:type="dxa"/>
            <w:vMerge w:val="continue"/>
            <w:vAlign w:val="center"/>
          </w:tcPr>
          <w:p>
            <w:pPr>
              <w:jc w:val="center"/>
              <w:rPr>
                <w:rFonts w:ascii="宋体" w:hAnsi="宋体" w:eastAsia="宋体" w:cs="宋体"/>
                <w:b/>
                <w:bCs/>
                <w:szCs w:val="21"/>
              </w:rPr>
            </w:pPr>
          </w:p>
        </w:tc>
        <w:tc>
          <w:tcPr>
            <w:tcW w:w="842" w:type="dxa"/>
            <w:vAlign w:val="center"/>
          </w:tcPr>
          <w:p>
            <w:pPr>
              <w:jc w:val="center"/>
              <w:rPr>
                <w:rFonts w:ascii="黑体" w:hAnsi="黑体" w:eastAsia="黑体" w:cs="宋体"/>
                <w:b/>
                <w:bCs/>
                <w:szCs w:val="21"/>
              </w:rPr>
            </w:pPr>
            <w:r>
              <w:rPr>
                <w:rFonts w:hint="eastAsia" w:ascii="黑体" w:hAnsi="黑体" w:eastAsia="黑体" w:cs="宋体"/>
                <w:b/>
                <w:bCs/>
                <w:szCs w:val="21"/>
              </w:rPr>
              <w:t>教学过程</w:t>
            </w:r>
          </w:p>
        </w:tc>
        <w:tc>
          <w:tcPr>
            <w:tcW w:w="5936" w:type="dxa"/>
            <w:vAlign w:val="center"/>
          </w:tcPr>
          <w:p>
            <w:pPr>
              <w:jc w:val="left"/>
              <w:rPr>
                <w:rFonts w:ascii="宋体" w:hAnsi="宋体" w:eastAsia="宋体" w:cs="宋体"/>
                <w:szCs w:val="21"/>
              </w:rPr>
            </w:pPr>
            <w:r>
              <w:rPr>
                <w:rFonts w:hint="eastAsia" w:ascii="宋体" w:hAnsi="宋体" w:eastAsia="宋体" w:cs="宋体"/>
                <w:szCs w:val="21"/>
              </w:rPr>
              <w:t>1.体现以学生为中心的教育理念；</w:t>
            </w:r>
          </w:p>
          <w:p>
            <w:pPr>
              <w:jc w:val="left"/>
              <w:rPr>
                <w:rFonts w:ascii="宋体" w:hAnsi="宋体" w:eastAsia="宋体" w:cs="宋体"/>
                <w:szCs w:val="21"/>
              </w:rPr>
            </w:pPr>
            <w:r>
              <w:rPr>
                <w:rFonts w:hint="eastAsia" w:ascii="宋体" w:hAnsi="宋体" w:eastAsia="宋体" w:cs="宋体"/>
                <w:szCs w:val="21"/>
              </w:rPr>
              <w:t>2.能灵活运用多种教学方法，综合运用现代信息技术和资源；</w:t>
            </w:r>
          </w:p>
          <w:p>
            <w:pPr>
              <w:jc w:val="left"/>
              <w:rPr>
                <w:rFonts w:hint="eastAsia" w:ascii="宋体" w:hAnsi="宋体" w:eastAsia="宋体" w:cs="宋体"/>
                <w:szCs w:val="21"/>
                <w:lang w:eastAsia="zh-CN"/>
              </w:rPr>
            </w:pPr>
            <w:r>
              <w:rPr>
                <w:rFonts w:hint="eastAsia" w:ascii="宋体" w:hAnsi="宋体" w:eastAsia="宋体" w:cs="宋体"/>
                <w:szCs w:val="21"/>
              </w:rPr>
              <w:t>3.教学过程结构紧凑，组织合理，板书或课件重点突出，使用效果好</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 w:type="dxa"/>
            <w:vMerge w:val="continue"/>
            <w:vAlign w:val="center"/>
          </w:tcPr>
          <w:p>
            <w:pPr>
              <w:jc w:val="center"/>
              <w:rPr>
                <w:rFonts w:ascii="宋体" w:hAnsi="宋体" w:eastAsia="宋体" w:cs="宋体"/>
                <w:b/>
                <w:bCs/>
                <w:szCs w:val="21"/>
              </w:rPr>
            </w:pPr>
          </w:p>
        </w:tc>
        <w:tc>
          <w:tcPr>
            <w:tcW w:w="842" w:type="dxa"/>
            <w:vAlign w:val="center"/>
          </w:tcPr>
          <w:p>
            <w:pPr>
              <w:jc w:val="center"/>
              <w:rPr>
                <w:rFonts w:ascii="黑体" w:hAnsi="黑体" w:eastAsia="黑体" w:cs="宋体"/>
                <w:b/>
                <w:bCs/>
                <w:szCs w:val="21"/>
              </w:rPr>
            </w:pPr>
            <w:r>
              <w:rPr>
                <w:rFonts w:hint="eastAsia" w:ascii="黑体" w:hAnsi="黑体" w:eastAsia="黑体" w:cs="宋体"/>
                <w:b/>
                <w:bCs/>
                <w:szCs w:val="21"/>
              </w:rPr>
              <w:t>教学效果</w:t>
            </w:r>
          </w:p>
        </w:tc>
        <w:tc>
          <w:tcPr>
            <w:tcW w:w="5936" w:type="dxa"/>
            <w:vAlign w:val="center"/>
          </w:tcPr>
          <w:p>
            <w:pPr>
              <w:jc w:val="left"/>
              <w:rPr>
                <w:rFonts w:hint="eastAsia" w:ascii="宋体" w:hAnsi="宋体" w:eastAsia="宋体" w:cs="宋体"/>
                <w:szCs w:val="21"/>
                <w:lang w:eastAsia="zh-CN"/>
              </w:rPr>
            </w:pPr>
            <w:r>
              <w:rPr>
                <w:rFonts w:hint="eastAsia" w:ascii="宋体" w:hAnsi="宋体" w:eastAsia="宋体" w:cs="宋体"/>
                <w:szCs w:val="21"/>
              </w:rPr>
              <w:t>教学效果的测量与评价方法得当，体现形成性评价的要素</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3" w:type="dxa"/>
            <w:gridSpan w:val="2"/>
            <w:vAlign w:val="center"/>
          </w:tcPr>
          <w:p>
            <w:pPr>
              <w:jc w:val="center"/>
              <w:rPr>
                <w:rFonts w:ascii="宋体" w:hAnsi="宋体" w:eastAsia="宋体" w:cs="宋体"/>
                <w:b/>
                <w:bCs/>
                <w:szCs w:val="21"/>
              </w:rPr>
            </w:pPr>
            <w:r>
              <w:rPr>
                <w:rFonts w:hint="eastAsia" w:ascii="黑体" w:hAnsi="黑体" w:eastAsia="黑体" w:cs="宋体"/>
                <w:b/>
                <w:bCs/>
                <w:szCs w:val="21"/>
              </w:rPr>
              <w:t>教学效果</w:t>
            </w:r>
          </w:p>
        </w:tc>
        <w:tc>
          <w:tcPr>
            <w:tcW w:w="5936" w:type="dxa"/>
            <w:vAlign w:val="center"/>
          </w:tcPr>
          <w:p>
            <w:pPr>
              <w:jc w:val="left"/>
              <w:rPr>
                <w:rFonts w:ascii="宋体" w:hAnsi="宋体" w:eastAsia="宋体" w:cs="宋体"/>
                <w:szCs w:val="21"/>
              </w:rPr>
            </w:pPr>
            <w:r>
              <w:rPr>
                <w:rFonts w:hint="eastAsia" w:ascii="宋体" w:hAnsi="宋体" w:eastAsia="宋体" w:cs="宋体"/>
                <w:szCs w:val="21"/>
              </w:rPr>
              <w:t>1.学生获得感强，学习体验好，满意度高；</w:t>
            </w:r>
          </w:p>
          <w:p>
            <w:pPr>
              <w:jc w:val="left"/>
              <w:rPr>
                <w:rFonts w:hint="eastAsia" w:ascii="宋体" w:hAnsi="宋体" w:eastAsia="宋体" w:cs="宋体"/>
                <w:szCs w:val="21"/>
                <w:lang w:eastAsia="zh-CN"/>
              </w:rPr>
            </w:pPr>
            <w:r>
              <w:rPr>
                <w:rFonts w:hint="eastAsia" w:ascii="宋体" w:hAnsi="宋体" w:eastAsia="宋体" w:cs="宋体"/>
                <w:szCs w:val="21"/>
              </w:rPr>
              <w:t>2.能够潜移默化地对学生的思想认识、行为举止产生积极影响</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3" w:type="dxa"/>
            <w:gridSpan w:val="2"/>
            <w:vAlign w:val="center"/>
          </w:tcPr>
          <w:p>
            <w:pPr>
              <w:jc w:val="center"/>
              <w:rPr>
                <w:rFonts w:ascii="宋体" w:hAnsi="宋体" w:eastAsia="宋体" w:cs="宋体"/>
                <w:b/>
                <w:bCs/>
                <w:szCs w:val="21"/>
              </w:rPr>
            </w:pPr>
            <w:r>
              <w:rPr>
                <w:rFonts w:hint="eastAsia" w:ascii="黑体" w:hAnsi="黑体" w:eastAsia="黑体" w:cs="宋体"/>
                <w:b/>
                <w:bCs/>
                <w:szCs w:val="21"/>
              </w:rPr>
              <w:t>教学反思</w:t>
            </w:r>
          </w:p>
        </w:tc>
        <w:tc>
          <w:tcPr>
            <w:tcW w:w="5936" w:type="dxa"/>
            <w:vAlign w:val="center"/>
          </w:tcPr>
          <w:p>
            <w:pPr>
              <w:tabs>
                <w:tab w:val="left" w:pos="312"/>
              </w:tabs>
              <w:jc w:val="left"/>
              <w:rPr>
                <w:rFonts w:hint="eastAsia" w:ascii="宋体" w:hAnsi="宋体" w:eastAsia="宋体" w:cs="宋体"/>
                <w:szCs w:val="21"/>
                <w:lang w:eastAsia="zh-CN"/>
              </w:rPr>
            </w:pPr>
            <w:r>
              <w:rPr>
                <w:rFonts w:hint="eastAsia" w:ascii="宋体" w:hAnsi="宋体" w:eastAsia="宋体" w:cs="宋体"/>
                <w:szCs w:val="21"/>
              </w:rPr>
              <w:t>能够对教学内容（包含课程思政内容）和过程进行梳理和反思，并做到适时调整，能够提出改进教学的方法</w:t>
            </w:r>
            <w:r>
              <w:rPr>
                <w:rFonts w:hint="eastAsia" w:ascii="宋体" w:hAnsi="宋体" w:eastAsia="宋体" w:cs="宋体"/>
                <w:szCs w:val="21"/>
                <w:lang w:eastAsia="zh-CN"/>
              </w:rPr>
              <w:t>；</w:t>
            </w:r>
          </w:p>
        </w:tc>
        <w:tc>
          <w:tcPr>
            <w:tcW w:w="683" w:type="dxa"/>
            <w:vAlign w:val="center"/>
          </w:tcPr>
          <w:p>
            <w:pPr>
              <w:spacing w:line="360" w:lineRule="auto"/>
              <w:jc w:val="center"/>
              <w:rPr>
                <w:rFonts w:ascii="宋体" w:hAnsi="宋体" w:eastAsia="宋体" w:cs="宋体"/>
                <w:szCs w:val="21"/>
              </w:rPr>
            </w:pPr>
            <w:r>
              <w:rPr>
                <w:rFonts w:hint="eastAsia" w:ascii="宋体" w:hAnsi="宋体" w:eastAsia="宋体" w:cs="宋体"/>
                <w:szCs w:val="21"/>
              </w:rPr>
              <w:t>10</w:t>
            </w:r>
          </w:p>
        </w:tc>
      </w:tr>
    </w:tbl>
    <w:p>
      <w:pPr>
        <w:jc w:val="center"/>
      </w:pPr>
    </w:p>
    <w:p>
      <w:pPr>
        <w:jc w:val="center"/>
        <w:rPr>
          <w:rFonts w:hint="eastAsia" w:ascii="黑体" w:hAnsi="黑体" w:eastAsia="黑体"/>
          <w:bCs/>
          <w:sz w:val="36"/>
          <w:szCs w:val="36"/>
        </w:rPr>
      </w:pPr>
      <w:r>
        <w:rPr>
          <w:rFonts w:hint="eastAsia" w:ascii="黑体" w:hAnsi="黑体" w:eastAsia="黑体"/>
          <w:bCs/>
          <w:sz w:val="36"/>
          <w:szCs w:val="36"/>
        </w:rPr>
        <w:t>承德医学院</w:t>
      </w:r>
    </w:p>
    <w:p>
      <w:pPr>
        <w:jc w:val="center"/>
        <w:rPr>
          <w:b/>
          <w:bCs/>
          <w:sz w:val="28"/>
          <w:szCs w:val="28"/>
        </w:rPr>
      </w:pPr>
      <w:r>
        <w:rPr>
          <w:rFonts w:hint="eastAsia" w:ascii="黑体" w:hAnsi="黑体" w:eastAsia="黑体"/>
          <w:bCs/>
          <w:sz w:val="36"/>
          <w:szCs w:val="36"/>
        </w:rPr>
        <w:t>课程思政教学竞赛评分标准</w:t>
      </w:r>
      <w:r>
        <w:rPr>
          <w:rFonts w:ascii="黑体" w:hAnsi="黑体" w:eastAsia="黑体"/>
          <w:bCs/>
          <w:sz w:val="36"/>
          <w:szCs w:val="36"/>
        </w:rPr>
        <mc:AlternateContent>
          <mc:Choice Requires="wps">
            <w:drawing>
              <wp:anchor distT="0" distB="0" distL="114300" distR="114300" simplePos="0" relativeHeight="251659264" behindDoc="0" locked="0" layoutInCell="1" allowOverlap="1">
                <wp:simplePos x="0" y="0"/>
                <wp:positionH relativeFrom="column">
                  <wp:posOffset>6732905</wp:posOffset>
                </wp:positionH>
                <wp:positionV relativeFrom="paragraph">
                  <wp:posOffset>808990</wp:posOffset>
                </wp:positionV>
                <wp:extent cx="2921635" cy="973455"/>
                <wp:effectExtent l="6350" t="6350" r="24765" b="10795"/>
                <wp:wrapNone/>
                <wp:docPr id="2" name="矩形 2"/>
                <wp:cNvGraphicFramePr/>
                <a:graphic xmlns:a="http://schemas.openxmlformats.org/drawingml/2006/main">
                  <a:graphicData uri="http://schemas.microsoft.com/office/word/2010/wordprocessingShape">
                    <wps:wsp>
                      <wps:cNvSpPr/>
                      <wps:spPr>
                        <a:xfrm>
                          <a:off x="0" y="0"/>
                          <a:ext cx="2921635" cy="973455"/>
                        </a:xfrm>
                        <a:prstGeom prst="rect">
                          <a:avLst/>
                        </a:prstGeom>
                        <a:solidFill>
                          <a:srgbClr val="FFFF00"/>
                        </a:solidFill>
                        <a:ln w="12700" cap="flat" cmpd="sng">
                          <a:solidFill>
                            <a:srgbClr val="243F60"/>
                          </a:solidFill>
                          <a:prstDash val="dashDot"/>
                          <a:miter/>
                          <a:headEnd type="none" w="med" len="med"/>
                          <a:tailEnd type="none" w="med" len="med"/>
                        </a:ln>
                      </wps:spPr>
                      <wps:txbx>
                        <w:txbxContent>
                          <w:p>
                            <w:pPr>
                              <w:jc w:val="center"/>
                              <w:rPr>
                                <w:b/>
                                <w:color w:val="C00000"/>
                                <w:sz w:val="22"/>
                              </w:rPr>
                            </w:pPr>
                            <w:r>
                              <w:rPr>
                                <w:b/>
                                <w:color w:val="C00000"/>
                                <w:sz w:val="22"/>
                              </w:rPr>
                              <w:t xml:space="preserve"> </w:t>
                            </w:r>
                            <w:r>
                              <w:rPr>
                                <w:rFonts w:hint="eastAsia"/>
                                <w:b/>
                                <w:color w:val="C00000"/>
                                <w:sz w:val="22"/>
                              </w:rPr>
                              <w:t>每一项满分为</w:t>
                            </w:r>
                            <w:r>
                              <w:rPr>
                                <w:b/>
                                <w:color w:val="C00000"/>
                                <w:sz w:val="22"/>
                              </w:rPr>
                              <w:t>10</w:t>
                            </w:r>
                            <w:r>
                              <w:rPr>
                                <w:rFonts w:hint="eastAsia"/>
                                <w:b/>
                                <w:color w:val="C00000"/>
                                <w:sz w:val="22"/>
                              </w:rPr>
                              <w:t>分</w:t>
                            </w:r>
                            <w:r>
                              <w:rPr>
                                <w:b/>
                                <w:color w:val="C00000"/>
                                <w:sz w:val="22"/>
                              </w:rPr>
                              <w:t>,</w:t>
                            </w:r>
                            <w:r>
                              <w:rPr>
                                <w:rFonts w:hint="eastAsia"/>
                                <w:b/>
                                <w:color w:val="C00000"/>
                                <w:sz w:val="22"/>
                              </w:rPr>
                              <w:t>分三等，分值范围如下：</w:t>
                            </w:r>
                          </w:p>
                          <w:p>
                            <w:pPr>
                              <w:ind w:firstLine="883" w:firstLineChars="400"/>
                              <w:rPr>
                                <w:b/>
                                <w:color w:val="C00000"/>
                                <w:sz w:val="22"/>
                              </w:rPr>
                            </w:pPr>
                            <w:r>
                              <w:rPr>
                                <w:rFonts w:hint="eastAsia"/>
                                <w:b/>
                                <w:color w:val="C00000"/>
                                <w:sz w:val="22"/>
                              </w:rPr>
                              <w:t>上等</w:t>
                            </w:r>
                            <w:r>
                              <w:rPr>
                                <w:b/>
                                <w:color w:val="C00000"/>
                                <w:sz w:val="22"/>
                              </w:rPr>
                              <w:t>:  9.0 —10</w:t>
                            </w:r>
                            <w:r>
                              <w:rPr>
                                <w:rFonts w:hint="eastAsia"/>
                                <w:b/>
                                <w:color w:val="C00000"/>
                                <w:sz w:val="22"/>
                              </w:rPr>
                              <w:t>分，</w:t>
                            </w:r>
                          </w:p>
                          <w:p>
                            <w:pPr>
                              <w:ind w:firstLine="883" w:firstLineChars="400"/>
                              <w:rPr>
                                <w:b/>
                                <w:color w:val="C00000"/>
                                <w:sz w:val="22"/>
                              </w:rPr>
                            </w:pPr>
                            <w:r>
                              <w:rPr>
                                <w:rFonts w:hint="eastAsia"/>
                                <w:b/>
                                <w:color w:val="C00000"/>
                                <w:sz w:val="22"/>
                              </w:rPr>
                              <w:t>中等</w:t>
                            </w:r>
                            <w:r>
                              <w:rPr>
                                <w:b/>
                                <w:color w:val="C00000"/>
                                <w:sz w:val="22"/>
                              </w:rPr>
                              <w:t>:  7.0 —8.9</w:t>
                            </w:r>
                            <w:r>
                              <w:rPr>
                                <w:rFonts w:hint="eastAsia"/>
                                <w:b/>
                                <w:color w:val="C00000"/>
                                <w:sz w:val="22"/>
                              </w:rPr>
                              <w:t>分，</w:t>
                            </w:r>
                          </w:p>
                          <w:p>
                            <w:pPr>
                              <w:ind w:firstLine="883" w:firstLineChars="400"/>
                            </w:pPr>
                            <w:r>
                              <w:rPr>
                                <w:rFonts w:hint="eastAsia"/>
                                <w:b/>
                                <w:color w:val="C00000"/>
                                <w:sz w:val="22"/>
                              </w:rPr>
                              <w:t>下等：</w:t>
                            </w:r>
                            <w:r>
                              <w:rPr>
                                <w:b/>
                                <w:color w:val="C00000"/>
                                <w:sz w:val="22"/>
                              </w:rPr>
                              <w:t xml:space="preserve"> 5.0 —6.9</w:t>
                            </w:r>
                            <w:r>
                              <w:rPr>
                                <w:rFonts w:hint="eastAsia"/>
                                <w:b/>
                                <w:color w:val="C00000"/>
                                <w:sz w:val="22"/>
                              </w:rPr>
                              <w:t>分。</w:t>
                            </w:r>
                          </w:p>
                          <w:p/>
                        </w:txbxContent>
                      </wps:txbx>
                      <wps:bodyPr anchor="ctr" anchorCtr="0" upright="1"/>
                    </wps:wsp>
                  </a:graphicData>
                </a:graphic>
              </wp:anchor>
            </w:drawing>
          </mc:Choice>
          <mc:Fallback>
            <w:pict>
              <v:rect id="_x0000_s1026" o:spid="_x0000_s1026" o:spt="1" style="position:absolute;left:0pt;margin-left:530.15pt;margin-top:63.7pt;height:76.65pt;width:230.05pt;z-index:251659264;v-text-anchor:middle;mso-width-relative:page;mso-height-relative:page;" fillcolor="#FFFF00" filled="t" stroked="t" coordsize="21600,21600" o:gfxdata="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6oaBa2QAAAA0BAAAP&#10;AAAAAAAAAAEAIAAAACIAAABkcnMvZG93bnJldi54bWxQSwECFAAUAAAACACHTuJAxZ8XExcCAABH&#10;BAAADgAAAAAAAAABACAAAAAoAQAAZHJzL2Uyb0RvYy54bWxQSwUGAAAAAAYABgBZAQAAsQUAAAAA&#10;">
                <v:fill on="t" focussize="0,0"/>
                <v:stroke weight="1pt" color="#243F60" joinstyle="miter" dashstyle="dashDot"/>
                <v:imagedata o:title=""/>
                <o:lock v:ext="edit" aspectratio="f"/>
                <v:textbox>
                  <w:txbxContent>
                    <w:p>
                      <w:pPr>
                        <w:jc w:val="center"/>
                        <w:rPr>
                          <w:b/>
                          <w:color w:val="C00000"/>
                          <w:sz w:val="22"/>
                        </w:rPr>
                      </w:pPr>
                      <w:r>
                        <w:rPr>
                          <w:b/>
                          <w:color w:val="C00000"/>
                          <w:sz w:val="22"/>
                        </w:rPr>
                        <w:t xml:space="preserve"> </w:t>
                      </w:r>
                      <w:r>
                        <w:rPr>
                          <w:rFonts w:hint="eastAsia"/>
                          <w:b/>
                          <w:color w:val="C00000"/>
                          <w:sz w:val="22"/>
                        </w:rPr>
                        <w:t>每一项满分为</w:t>
                      </w:r>
                      <w:r>
                        <w:rPr>
                          <w:b/>
                          <w:color w:val="C00000"/>
                          <w:sz w:val="22"/>
                        </w:rPr>
                        <w:t>10</w:t>
                      </w:r>
                      <w:r>
                        <w:rPr>
                          <w:rFonts w:hint="eastAsia"/>
                          <w:b/>
                          <w:color w:val="C00000"/>
                          <w:sz w:val="22"/>
                        </w:rPr>
                        <w:t>分</w:t>
                      </w:r>
                      <w:r>
                        <w:rPr>
                          <w:b/>
                          <w:color w:val="C00000"/>
                          <w:sz w:val="22"/>
                        </w:rPr>
                        <w:t>,</w:t>
                      </w:r>
                      <w:r>
                        <w:rPr>
                          <w:rFonts w:hint="eastAsia"/>
                          <w:b/>
                          <w:color w:val="C00000"/>
                          <w:sz w:val="22"/>
                        </w:rPr>
                        <w:t>分三等，分值范围如下：</w:t>
                      </w:r>
                    </w:p>
                    <w:p>
                      <w:pPr>
                        <w:ind w:firstLine="883" w:firstLineChars="400"/>
                        <w:rPr>
                          <w:b/>
                          <w:color w:val="C00000"/>
                          <w:sz w:val="22"/>
                        </w:rPr>
                      </w:pPr>
                      <w:r>
                        <w:rPr>
                          <w:rFonts w:hint="eastAsia"/>
                          <w:b/>
                          <w:color w:val="C00000"/>
                          <w:sz w:val="22"/>
                        </w:rPr>
                        <w:t>上等</w:t>
                      </w:r>
                      <w:r>
                        <w:rPr>
                          <w:b/>
                          <w:color w:val="C00000"/>
                          <w:sz w:val="22"/>
                        </w:rPr>
                        <w:t>:  9.0 —10</w:t>
                      </w:r>
                      <w:r>
                        <w:rPr>
                          <w:rFonts w:hint="eastAsia"/>
                          <w:b/>
                          <w:color w:val="C00000"/>
                          <w:sz w:val="22"/>
                        </w:rPr>
                        <w:t>分，</w:t>
                      </w:r>
                    </w:p>
                    <w:p>
                      <w:pPr>
                        <w:ind w:firstLine="883" w:firstLineChars="400"/>
                        <w:rPr>
                          <w:b/>
                          <w:color w:val="C00000"/>
                          <w:sz w:val="22"/>
                        </w:rPr>
                      </w:pPr>
                      <w:r>
                        <w:rPr>
                          <w:rFonts w:hint="eastAsia"/>
                          <w:b/>
                          <w:color w:val="C00000"/>
                          <w:sz w:val="22"/>
                        </w:rPr>
                        <w:t>中等</w:t>
                      </w:r>
                      <w:r>
                        <w:rPr>
                          <w:b/>
                          <w:color w:val="C00000"/>
                          <w:sz w:val="22"/>
                        </w:rPr>
                        <w:t>:  7.0 —8.9</w:t>
                      </w:r>
                      <w:r>
                        <w:rPr>
                          <w:rFonts w:hint="eastAsia"/>
                          <w:b/>
                          <w:color w:val="C00000"/>
                          <w:sz w:val="22"/>
                        </w:rPr>
                        <w:t>分，</w:t>
                      </w:r>
                    </w:p>
                    <w:p>
                      <w:pPr>
                        <w:ind w:firstLine="883" w:firstLineChars="400"/>
                      </w:pPr>
                      <w:r>
                        <w:rPr>
                          <w:rFonts w:hint="eastAsia"/>
                          <w:b/>
                          <w:color w:val="C00000"/>
                          <w:sz w:val="22"/>
                        </w:rPr>
                        <w:t>下等：</w:t>
                      </w:r>
                      <w:r>
                        <w:rPr>
                          <w:b/>
                          <w:color w:val="C00000"/>
                          <w:sz w:val="22"/>
                        </w:rPr>
                        <w:t xml:space="preserve"> 5.0 —6.9</w:t>
                      </w:r>
                      <w:r>
                        <w:rPr>
                          <w:rFonts w:hint="eastAsia"/>
                          <w:b/>
                          <w:color w:val="C00000"/>
                          <w:sz w:val="22"/>
                        </w:rPr>
                        <w:t>分。</w:t>
                      </w:r>
                    </w:p>
                    <w:p/>
                  </w:txbxContent>
                </v:textbox>
              </v:rect>
            </w:pict>
          </mc:Fallback>
        </mc:AlternateContent>
      </w:r>
      <w:r>
        <w:rPr>
          <w:rFonts w:ascii="黑体" w:hAnsi="黑体" w:eastAsia="黑体"/>
          <w:bCs/>
          <w:sz w:val="36"/>
          <w:szCs w:val="36"/>
        </w:rPr>
        <mc:AlternateContent>
          <mc:Choice Requires="wps">
            <w:drawing>
              <wp:anchor distT="0" distB="0" distL="114300" distR="114300" simplePos="0" relativeHeight="251660288" behindDoc="0" locked="0" layoutInCell="1" allowOverlap="1">
                <wp:simplePos x="0" y="0"/>
                <wp:positionH relativeFrom="column">
                  <wp:posOffset>6732905</wp:posOffset>
                </wp:positionH>
                <wp:positionV relativeFrom="paragraph">
                  <wp:posOffset>808990</wp:posOffset>
                </wp:positionV>
                <wp:extent cx="2921635" cy="973455"/>
                <wp:effectExtent l="6350" t="6350" r="24765" b="10795"/>
                <wp:wrapNone/>
                <wp:docPr id="3" name="矩形 3"/>
                <wp:cNvGraphicFramePr/>
                <a:graphic xmlns:a="http://schemas.openxmlformats.org/drawingml/2006/main">
                  <a:graphicData uri="http://schemas.microsoft.com/office/word/2010/wordprocessingShape">
                    <wps:wsp>
                      <wps:cNvSpPr/>
                      <wps:spPr>
                        <a:xfrm>
                          <a:off x="0" y="0"/>
                          <a:ext cx="2921635" cy="973455"/>
                        </a:xfrm>
                        <a:prstGeom prst="rect">
                          <a:avLst/>
                        </a:prstGeom>
                        <a:solidFill>
                          <a:srgbClr val="FFFF00"/>
                        </a:solidFill>
                        <a:ln w="12700" cap="flat" cmpd="sng">
                          <a:solidFill>
                            <a:srgbClr val="243F60"/>
                          </a:solidFill>
                          <a:prstDash val="dashDot"/>
                          <a:miter/>
                          <a:headEnd type="none" w="med" len="med"/>
                          <a:tailEnd type="none" w="med" len="med"/>
                        </a:ln>
                      </wps:spPr>
                      <wps:txbx>
                        <w:txbxContent>
                          <w:p>
                            <w:pPr>
                              <w:jc w:val="center"/>
                              <w:rPr>
                                <w:b/>
                                <w:color w:val="C00000"/>
                                <w:sz w:val="22"/>
                              </w:rPr>
                            </w:pPr>
                            <w:r>
                              <w:rPr>
                                <w:b/>
                                <w:color w:val="C00000"/>
                                <w:sz w:val="22"/>
                              </w:rPr>
                              <w:t xml:space="preserve"> </w:t>
                            </w:r>
                            <w:r>
                              <w:rPr>
                                <w:rFonts w:hint="eastAsia"/>
                                <w:b/>
                                <w:color w:val="C00000"/>
                                <w:sz w:val="22"/>
                              </w:rPr>
                              <w:t>每一项满分为</w:t>
                            </w:r>
                            <w:r>
                              <w:rPr>
                                <w:b/>
                                <w:color w:val="C00000"/>
                                <w:sz w:val="22"/>
                              </w:rPr>
                              <w:t>10</w:t>
                            </w:r>
                            <w:r>
                              <w:rPr>
                                <w:rFonts w:hint="eastAsia"/>
                                <w:b/>
                                <w:color w:val="C00000"/>
                                <w:sz w:val="22"/>
                              </w:rPr>
                              <w:t>分</w:t>
                            </w:r>
                            <w:r>
                              <w:rPr>
                                <w:b/>
                                <w:color w:val="C00000"/>
                                <w:sz w:val="22"/>
                              </w:rPr>
                              <w:t>,</w:t>
                            </w:r>
                            <w:r>
                              <w:rPr>
                                <w:rFonts w:hint="eastAsia"/>
                                <w:b/>
                                <w:color w:val="C00000"/>
                                <w:sz w:val="22"/>
                              </w:rPr>
                              <w:t>分三等，分值范围如下：</w:t>
                            </w:r>
                          </w:p>
                          <w:p>
                            <w:pPr>
                              <w:ind w:firstLine="883" w:firstLineChars="400"/>
                              <w:rPr>
                                <w:b/>
                                <w:color w:val="C00000"/>
                                <w:sz w:val="22"/>
                              </w:rPr>
                            </w:pPr>
                            <w:r>
                              <w:rPr>
                                <w:rFonts w:hint="eastAsia"/>
                                <w:b/>
                                <w:color w:val="C00000"/>
                                <w:sz w:val="22"/>
                              </w:rPr>
                              <w:t>上等</w:t>
                            </w:r>
                            <w:r>
                              <w:rPr>
                                <w:b/>
                                <w:color w:val="C00000"/>
                                <w:sz w:val="22"/>
                              </w:rPr>
                              <w:t>:  9.0 —10</w:t>
                            </w:r>
                            <w:r>
                              <w:rPr>
                                <w:rFonts w:hint="eastAsia"/>
                                <w:b/>
                                <w:color w:val="C00000"/>
                                <w:sz w:val="22"/>
                              </w:rPr>
                              <w:t>分，</w:t>
                            </w:r>
                          </w:p>
                          <w:p>
                            <w:pPr>
                              <w:ind w:firstLine="883" w:firstLineChars="400"/>
                              <w:rPr>
                                <w:b/>
                                <w:color w:val="C00000"/>
                                <w:sz w:val="22"/>
                              </w:rPr>
                            </w:pPr>
                            <w:r>
                              <w:rPr>
                                <w:rFonts w:hint="eastAsia"/>
                                <w:b/>
                                <w:color w:val="C00000"/>
                                <w:sz w:val="22"/>
                              </w:rPr>
                              <w:t>中等</w:t>
                            </w:r>
                            <w:r>
                              <w:rPr>
                                <w:b/>
                                <w:color w:val="C00000"/>
                                <w:sz w:val="22"/>
                              </w:rPr>
                              <w:t>:  7.0 —8.9</w:t>
                            </w:r>
                            <w:r>
                              <w:rPr>
                                <w:rFonts w:hint="eastAsia"/>
                                <w:b/>
                                <w:color w:val="C00000"/>
                                <w:sz w:val="22"/>
                              </w:rPr>
                              <w:t>分，</w:t>
                            </w:r>
                          </w:p>
                          <w:p>
                            <w:pPr>
                              <w:ind w:firstLine="883" w:firstLineChars="400"/>
                            </w:pPr>
                            <w:r>
                              <w:rPr>
                                <w:rFonts w:hint="eastAsia"/>
                                <w:b/>
                                <w:color w:val="C00000"/>
                                <w:sz w:val="22"/>
                              </w:rPr>
                              <w:t>下等：</w:t>
                            </w:r>
                            <w:r>
                              <w:rPr>
                                <w:b/>
                                <w:color w:val="C00000"/>
                                <w:sz w:val="22"/>
                              </w:rPr>
                              <w:t xml:space="preserve"> 5.0 —6.9</w:t>
                            </w:r>
                            <w:r>
                              <w:rPr>
                                <w:rFonts w:hint="eastAsia"/>
                                <w:b/>
                                <w:color w:val="C00000"/>
                                <w:sz w:val="22"/>
                              </w:rPr>
                              <w:t>分。</w:t>
                            </w:r>
                          </w:p>
                          <w:p/>
                        </w:txbxContent>
                      </wps:txbx>
                      <wps:bodyPr anchor="ctr" anchorCtr="0" upright="1"/>
                    </wps:wsp>
                  </a:graphicData>
                </a:graphic>
              </wp:anchor>
            </w:drawing>
          </mc:Choice>
          <mc:Fallback>
            <w:pict>
              <v:rect id="_x0000_s1026" o:spid="_x0000_s1026" o:spt="1" style="position:absolute;left:0pt;margin-left:530.15pt;margin-top:63.7pt;height:76.65pt;width:230.05pt;z-index:251660288;v-text-anchor:middle;mso-width-relative:page;mso-height-relative:page;" fillcolor="#FFFF00" filled="t" stroked="t" coordsize="21600,21600" o:gfxdata="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6oaBa2QAAAA0BAAAP&#10;AAAAAAAAAAEAIAAAACIAAABkcnMvZG93bnJldi54bWxQSwECFAAUAAAACACHTuJA89D8ZhcCAABH&#10;BAAADgAAAAAAAAABACAAAAAoAQAAZHJzL2Uyb0RvYy54bWxQSwUGAAAAAAYABgBZAQAAsQUAAAAA&#10;">
                <v:fill on="t" focussize="0,0"/>
                <v:stroke weight="1pt" color="#243F60" joinstyle="miter" dashstyle="dashDot"/>
                <v:imagedata o:title=""/>
                <o:lock v:ext="edit" aspectratio="f"/>
                <v:textbox>
                  <w:txbxContent>
                    <w:p>
                      <w:pPr>
                        <w:jc w:val="center"/>
                        <w:rPr>
                          <w:b/>
                          <w:color w:val="C00000"/>
                          <w:sz w:val="22"/>
                        </w:rPr>
                      </w:pPr>
                      <w:r>
                        <w:rPr>
                          <w:b/>
                          <w:color w:val="C00000"/>
                          <w:sz w:val="22"/>
                        </w:rPr>
                        <w:t xml:space="preserve"> </w:t>
                      </w:r>
                      <w:r>
                        <w:rPr>
                          <w:rFonts w:hint="eastAsia"/>
                          <w:b/>
                          <w:color w:val="C00000"/>
                          <w:sz w:val="22"/>
                        </w:rPr>
                        <w:t>每一项满分为</w:t>
                      </w:r>
                      <w:r>
                        <w:rPr>
                          <w:b/>
                          <w:color w:val="C00000"/>
                          <w:sz w:val="22"/>
                        </w:rPr>
                        <w:t>10</w:t>
                      </w:r>
                      <w:r>
                        <w:rPr>
                          <w:rFonts w:hint="eastAsia"/>
                          <w:b/>
                          <w:color w:val="C00000"/>
                          <w:sz w:val="22"/>
                        </w:rPr>
                        <w:t>分</w:t>
                      </w:r>
                      <w:r>
                        <w:rPr>
                          <w:b/>
                          <w:color w:val="C00000"/>
                          <w:sz w:val="22"/>
                        </w:rPr>
                        <w:t>,</w:t>
                      </w:r>
                      <w:r>
                        <w:rPr>
                          <w:rFonts w:hint="eastAsia"/>
                          <w:b/>
                          <w:color w:val="C00000"/>
                          <w:sz w:val="22"/>
                        </w:rPr>
                        <w:t>分三等，分值范围如下：</w:t>
                      </w:r>
                    </w:p>
                    <w:p>
                      <w:pPr>
                        <w:ind w:firstLine="883" w:firstLineChars="400"/>
                        <w:rPr>
                          <w:b/>
                          <w:color w:val="C00000"/>
                          <w:sz w:val="22"/>
                        </w:rPr>
                      </w:pPr>
                      <w:r>
                        <w:rPr>
                          <w:rFonts w:hint="eastAsia"/>
                          <w:b/>
                          <w:color w:val="C00000"/>
                          <w:sz w:val="22"/>
                        </w:rPr>
                        <w:t>上等</w:t>
                      </w:r>
                      <w:r>
                        <w:rPr>
                          <w:b/>
                          <w:color w:val="C00000"/>
                          <w:sz w:val="22"/>
                        </w:rPr>
                        <w:t>:  9.0 —10</w:t>
                      </w:r>
                      <w:r>
                        <w:rPr>
                          <w:rFonts w:hint="eastAsia"/>
                          <w:b/>
                          <w:color w:val="C00000"/>
                          <w:sz w:val="22"/>
                        </w:rPr>
                        <w:t>分，</w:t>
                      </w:r>
                    </w:p>
                    <w:p>
                      <w:pPr>
                        <w:ind w:firstLine="883" w:firstLineChars="400"/>
                        <w:rPr>
                          <w:b/>
                          <w:color w:val="C00000"/>
                          <w:sz w:val="22"/>
                        </w:rPr>
                      </w:pPr>
                      <w:r>
                        <w:rPr>
                          <w:rFonts w:hint="eastAsia"/>
                          <w:b/>
                          <w:color w:val="C00000"/>
                          <w:sz w:val="22"/>
                        </w:rPr>
                        <w:t>中等</w:t>
                      </w:r>
                      <w:r>
                        <w:rPr>
                          <w:b/>
                          <w:color w:val="C00000"/>
                          <w:sz w:val="22"/>
                        </w:rPr>
                        <w:t>:  7.0 —8.9</w:t>
                      </w:r>
                      <w:r>
                        <w:rPr>
                          <w:rFonts w:hint="eastAsia"/>
                          <w:b/>
                          <w:color w:val="C00000"/>
                          <w:sz w:val="22"/>
                        </w:rPr>
                        <w:t>分，</w:t>
                      </w:r>
                    </w:p>
                    <w:p>
                      <w:pPr>
                        <w:ind w:firstLine="883" w:firstLineChars="400"/>
                      </w:pPr>
                      <w:r>
                        <w:rPr>
                          <w:rFonts w:hint="eastAsia"/>
                          <w:b/>
                          <w:color w:val="C00000"/>
                          <w:sz w:val="22"/>
                        </w:rPr>
                        <w:t>下等：</w:t>
                      </w:r>
                      <w:r>
                        <w:rPr>
                          <w:b/>
                          <w:color w:val="C00000"/>
                          <w:sz w:val="22"/>
                        </w:rPr>
                        <w:t xml:space="preserve"> 5.0 —6.9</w:t>
                      </w:r>
                      <w:r>
                        <w:rPr>
                          <w:rFonts w:hint="eastAsia"/>
                          <w:b/>
                          <w:color w:val="C00000"/>
                          <w:sz w:val="22"/>
                        </w:rPr>
                        <w:t>分。</w:t>
                      </w:r>
                    </w:p>
                    <w:p/>
                  </w:txbxContent>
                </v:textbox>
              </v:rect>
            </w:pict>
          </mc:Fallback>
        </mc:AlternateContent>
      </w:r>
      <w:r>
        <w:rPr>
          <w:rFonts w:ascii="黑体" w:hAnsi="黑体" w:eastAsia="黑体"/>
          <w:bCs/>
          <w:sz w:val="36"/>
          <w:szCs w:val="36"/>
        </w:rPr>
        <mc:AlternateContent>
          <mc:Choice Requires="wps">
            <w:drawing>
              <wp:anchor distT="0" distB="0" distL="114300" distR="114300" simplePos="0" relativeHeight="251661312" behindDoc="0" locked="0" layoutInCell="1" allowOverlap="1">
                <wp:simplePos x="0" y="0"/>
                <wp:positionH relativeFrom="column">
                  <wp:posOffset>6732905</wp:posOffset>
                </wp:positionH>
                <wp:positionV relativeFrom="paragraph">
                  <wp:posOffset>808990</wp:posOffset>
                </wp:positionV>
                <wp:extent cx="2921635" cy="973455"/>
                <wp:effectExtent l="6350" t="6350" r="24765" b="10795"/>
                <wp:wrapNone/>
                <wp:docPr id="1" name="矩形 1"/>
                <wp:cNvGraphicFramePr/>
                <a:graphic xmlns:a="http://schemas.openxmlformats.org/drawingml/2006/main">
                  <a:graphicData uri="http://schemas.microsoft.com/office/word/2010/wordprocessingShape">
                    <wps:wsp>
                      <wps:cNvSpPr/>
                      <wps:spPr>
                        <a:xfrm>
                          <a:off x="0" y="0"/>
                          <a:ext cx="2921635" cy="973455"/>
                        </a:xfrm>
                        <a:prstGeom prst="rect">
                          <a:avLst/>
                        </a:prstGeom>
                        <a:solidFill>
                          <a:srgbClr val="FFFF00"/>
                        </a:solidFill>
                        <a:ln w="12700" cap="flat" cmpd="sng">
                          <a:solidFill>
                            <a:srgbClr val="243F60"/>
                          </a:solidFill>
                          <a:prstDash val="dashDot"/>
                          <a:miter/>
                          <a:headEnd type="none" w="med" len="med"/>
                          <a:tailEnd type="none" w="med" len="med"/>
                        </a:ln>
                      </wps:spPr>
                      <wps:txbx>
                        <w:txbxContent>
                          <w:p>
                            <w:pPr>
                              <w:jc w:val="center"/>
                              <w:rPr>
                                <w:b/>
                                <w:color w:val="C00000"/>
                                <w:sz w:val="22"/>
                              </w:rPr>
                            </w:pPr>
                            <w:r>
                              <w:rPr>
                                <w:b/>
                                <w:color w:val="C00000"/>
                                <w:sz w:val="22"/>
                              </w:rPr>
                              <w:t xml:space="preserve"> </w:t>
                            </w:r>
                            <w:r>
                              <w:rPr>
                                <w:rFonts w:hint="eastAsia"/>
                                <w:b/>
                                <w:color w:val="C00000"/>
                                <w:sz w:val="22"/>
                              </w:rPr>
                              <w:t>每一项满分为</w:t>
                            </w:r>
                            <w:r>
                              <w:rPr>
                                <w:b/>
                                <w:color w:val="C00000"/>
                                <w:sz w:val="22"/>
                              </w:rPr>
                              <w:t>10</w:t>
                            </w:r>
                            <w:r>
                              <w:rPr>
                                <w:rFonts w:hint="eastAsia"/>
                                <w:b/>
                                <w:color w:val="C00000"/>
                                <w:sz w:val="22"/>
                              </w:rPr>
                              <w:t>分</w:t>
                            </w:r>
                            <w:r>
                              <w:rPr>
                                <w:b/>
                                <w:color w:val="C00000"/>
                                <w:sz w:val="22"/>
                              </w:rPr>
                              <w:t>,</w:t>
                            </w:r>
                            <w:r>
                              <w:rPr>
                                <w:rFonts w:hint="eastAsia"/>
                                <w:b/>
                                <w:color w:val="C00000"/>
                                <w:sz w:val="22"/>
                              </w:rPr>
                              <w:t>分三等，分值范围如下：</w:t>
                            </w:r>
                          </w:p>
                          <w:p>
                            <w:pPr>
                              <w:ind w:firstLine="883" w:firstLineChars="400"/>
                              <w:rPr>
                                <w:b/>
                                <w:color w:val="C00000"/>
                                <w:sz w:val="22"/>
                              </w:rPr>
                            </w:pPr>
                            <w:r>
                              <w:rPr>
                                <w:rFonts w:hint="eastAsia"/>
                                <w:b/>
                                <w:color w:val="C00000"/>
                                <w:sz w:val="22"/>
                              </w:rPr>
                              <w:t>上等</w:t>
                            </w:r>
                            <w:r>
                              <w:rPr>
                                <w:b/>
                                <w:color w:val="C00000"/>
                                <w:sz w:val="22"/>
                              </w:rPr>
                              <w:t>:  9.0 —10</w:t>
                            </w:r>
                            <w:r>
                              <w:rPr>
                                <w:rFonts w:hint="eastAsia"/>
                                <w:b/>
                                <w:color w:val="C00000"/>
                                <w:sz w:val="22"/>
                              </w:rPr>
                              <w:t>分，</w:t>
                            </w:r>
                          </w:p>
                          <w:p>
                            <w:pPr>
                              <w:ind w:firstLine="883" w:firstLineChars="400"/>
                              <w:rPr>
                                <w:b/>
                                <w:color w:val="C00000"/>
                                <w:sz w:val="22"/>
                              </w:rPr>
                            </w:pPr>
                            <w:r>
                              <w:rPr>
                                <w:rFonts w:hint="eastAsia"/>
                                <w:b/>
                                <w:color w:val="C00000"/>
                                <w:sz w:val="22"/>
                              </w:rPr>
                              <w:t>中等</w:t>
                            </w:r>
                            <w:r>
                              <w:rPr>
                                <w:b/>
                                <w:color w:val="C00000"/>
                                <w:sz w:val="22"/>
                              </w:rPr>
                              <w:t>:  7.0 —8.9</w:t>
                            </w:r>
                            <w:r>
                              <w:rPr>
                                <w:rFonts w:hint="eastAsia"/>
                                <w:b/>
                                <w:color w:val="C00000"/>
                                <w:sz w:val="22"/>
                              </w:rPr>
                              <w:t>分，</w:t>
                            </w:r>
                          </w:p>
                          <w:p>
                            <w:pPr>
                              <w:ind w:firstLine="883" w:firstLineChars="400"/>
                            </w:pPr>
                            <w:r>
                              <w:rPr>
                                <w:rFonts w:hint="eastAsia"/>
                                <w:b/>
                                <w:color w:val="C00000"/>
                                <w:sz w:val="22"/>
                              </w:rPr>
                              <w:t>下等：</w:t>
                            </w:r>
                            <w:r>
                              <w:rPr>
                                <w:b/>
                                <w:color w:val="C00000"/>
                                <w:sz w:val="22"/>
                              </w:rPr>
                              <w:t xml:space="preserve"> 5.0 —6.9</w:t>
                            </w:r>
                            <w:r>
                              <w:rPr>
                                <w:rFonts w:hint="eastAsia"/>
                                <w:b/>
                                <w:color w:val="C00000"/>
                                <w:sz w:val="22"/>
                              </w:rPr>
                              <w:t>分。</w:t>
                            </w:r>
                          </w:p>
                          <w:p/>
                        </w:txbxContent>
                      </wps:txbx>
                      <wps:bodyPr anchor="ctr" anchorCtr="0" upright="1"/>
                    </wps:wsp>
                  </a:graphicData>
                </a:graphic>
              </wp:anchor>
            </w:drawing>
          </mc:Choice>
          <mc:Fallback>
            <w:pict>
              <v:rect id="_x0000_s1026" o:spid="_x0000_s1026" o:spt="1" style="position:absolute;left:0pt;margin-left:530.15pt;margin-top:63.7pt;height:76.65pt;width:230.05pt;z-index:251661312;v-text-anchor:middle;mso-width-relative:page;mso-height-relative:page;" fillcolor="#FFFF00" filled="t" stroked="t" coordsize="21600,21600" o:gfxdata="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OqGgWtkAAAANAQAADwAA&#10;AAAAAAABACAAAAAiAAAAZHJzL2Rvd25yZXYueG1sUEsBAhQAFAAAAAgAh07iQJ9OKo0VAgAARwQA&#10;AA4AAAAAAAAAAQAgAAAAKAEAAGRycy9lMm9Eb2MueG1sUEsFBgAAAAAGAAYAWQEAAK8FAAAAAA==&#10;">
                <v:fill on="t" focussize="0,0"/>
                <v:stroke weight="1pt" color="#243F60" joinstyle="miter" dashstyle="dashDot"/>
                <v:imagedata o:title=""/>
                <o:lock v:ext="edit" aspectratio="f"/>
                <v:textbox>
                  <w:txbxContent>
                    <w:p>
                      <w:pPr>
                        <w:jc w:val="center"/>
                        <w:rPr>
                          <w:b/>
                          <w:color w:val="C00000"/>
                          <w:sz w:val="22"/>
                        </w:rPr>
                      </w:pPr>
                      <w:r>
                        <w:rPr>
                          <w:b/>
                          <w:color w:val="C00000"/>
                          <w:sz w:val="22"/>
                        </w:rPr>
                        <w:t xml:space="preserve"> </w:t>
                      </w:r>
                      <w:r>
                        <w:rPr>
                          <w:rFonts w:hint="eastAsia"/>
                          <w:b/>
                          <w:color w:val="C00000"/>
                          <w:sz w:val="22"/>
                        </w:rPr>
                        <w:t>每一项满分为</w:t>
                      </w:r>
                      <w:r>
                        <w:rPr>
                          <w:b/>
                          <w:color w:val="C00000"/>
                          <w:sz w:val="22"/>
                        </w:rPr>
                        <w:t>10</w:t>
                      </w:r>
                      <w:r>
                        <w:rPr>
                          <w:rFonts w:hint="eastAsia"/>
                          <w:b/>
                          <w:color w:val="C00000"/>
                          <w:sz w:val="22"/>
                        </w:rPr>
                        <w:t>分</w:t>
                      </w:r>
                      <w:r>
                        <w:rPr>
                          <w:b/>
                          <w:color w:val="C00000"/>
                          <w:sz w:val="22"/>
                        </w:rPr>
                        <w:t>,</w:t>
                      </w:r>
                      <w:r>
                        <w:rPr>
                          <w:rFonts w:hint="eastAsia"/>
                          <w:b/>
                          <w:color w:val="C00000"/>
                          <w:sz w:val="22"/>
                        </w:rPr>
                        <w:t>分三等，分值范围如下：</w:t>
                      </w:r>
                    </w:p>
                    <w:p>
                      <w:pPr>
                        <w:ind w:firstLine="883" w:firstLineChars="400"/>
                        <w:rPr>
                          <w:b/>
                          <w:color w:val="C00000"/>
                          <w:sz w:val="22"/>
                        </w:rPr>
                      </w:pPr>
                      <w:r>
                        <w:rPr>
                          <w:rFonts w:hint="eastAsia"/>
                          <w:b/>
                          <w:color w:val="C00000"/>
                          <w:sz w:val="22"/>
                        </w:rPr>
                        <w:t>上等</w:t>
                      </w:r>
                      <w:r>
                        <w:rPr>
                          <w:b/>
                          <w:color w:val="C00000"/>
                          <w:sz w:val="22"/>
                        </w:rPr>
                        <w:t>:  9.0 —10</w:t>
                      </w:r>
                      <w:r>
                        <w:rPr>
                          <w:rFonts w:hint="eastAsia"/>
                          <w:b/>
                          <w:color w:val="C00000"/>
                          <w:sz w:val="22"/>
                        </w:rPr>
                        <w:t>分，</w:t>
                      </w:r>
                    </w:p>
                    <w:p>
                      <w:pPr>
                        <w:ind w:firstLine="883" w:firstLineChars="400"/>
                        <w:rPr>
                          <w:b/>
                          <w:color w:val="C00000"/>
                          <w:sz w:val="22"/>
                        </w:rPr>
                      </w:pPr>
                      <w:r>
                        <w:rPr>
                          <w:rFonts w:hint="eastAsia"/>
                          <w:b/>
                          <w:color w:val="C00000"/>
                          <w:sz w:val="22"/>
                        </w:rPr>
                        <w:t>中等</w:t>
                      </w:r>
                      <w:r>
                        <w:rPr>
                          <w:b/>
                          <w:color w:val="C00000"/>
                          <w:sz w:val="22"/>
                        </w:rPr>
                        <w:t>:  7.0 —8.9</w:t>
                      </w:r>
                      <w:r>
                        <w:rPr>
                          <w:rFonts w:hint="eastAsia"/>
                          <w:b/>
                          <w:color w:val="C00000"/>
                          <w:sz w:val="22"/>
                        </w:rPr>
                        <w:t>分，</w:t>
                      </w:r>
                    </w:p>
                    <w:p>
                      <w:pPr>
                        <w:ind w:firstLine="883" w:firstLineChars="400"/>
                      </w:pPr>
                      <w:r>
                        <w:rPr>
                          <w:rFonts w:hint="eastAsia"/>
                          <w:b/>
                          <w:color w:val="C00000"/>
                          <w:sz w:val="22"/>
                        </w:rPr>
                        <w:t>下等：</w:t>
                      </w:r>
                      <w:r>
                        <w:rPr>
                          <w:b/>
                          <w:color w:val="C00000"/>
                          <w:sz w:val="22"/>
                        </w:rPr>
                        <w:t xml:space="preserve"> 5.0 —6.9</w:t>
                      </w:r>
                      <w:r>
                        <w:rPr>
                          <w:rFonts w:hint="eastAsia"/>
                          <w:b/>
                          <w:color w:val="C00000"/>
                          <w:sz w:val="22"/>
                        </w:rPr>
                        <w:t>分。</w:t>
                      </w:r>
                    </w:p>
                    <w:p/>
                  </w:txbxContent>
                </v:textbox>
              </v:rect>
            </w:pict>
          </mc:Fallback>
        </mc:AlternateContent>
      </w:r>
    </w:p>
    <w:tbl>
      <w:tblPr>
        <w:tblStyle w:val="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447"/>
        <w:gridCol w:w="584"/>
        <w:gridCol w:w="6532"/>
        <w:gridCol w:w="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589" w:hRule="atLeast"/>
        </w:trPr>
        <w:tc>
          <w:tcPr>
            <w:tcW w:w="650" w:type="pct"/>
            <w:gridSpan w:val="2"/>
            <w:vAlign w:val="center"/>
          </w:tcPr>
          <w:p>
            <w:pPr>
              <w:spacing w:line="360" w:lineRule="auto"/>
              <w:rPr>
                <w:rFonts w:ascii="黑体" w:hAnsi="黑体" w:eastAsia="黑体" w:cs="宋体"/>
                <w:b/>
                <w:szCs w:val="21"/>
              </w:rPr>
            </w:pPr>
            <w:r>
              <w:rPr>
                <w:rFonts w:hint="eastAsia" w:ascii="黑体" w:hAnsi="黑体" w:eastAsia="黑体" w:cs="宋体"/>
                <w:b/>
                <w:szCs w:val="21"/>
              </w:rPr>
              <w:t>评分项目</w:t>
            </w:r>
          </w:p>
        </w:tc>
        <w:tc>
          <w:tcPr>
            <w:tcW w:w="3899" w:type="pct"/>
            <w:vAlign w:val="center"/>
          </w:tcPr>
          <w:p>
            <w:pPr>
              <w:spacing w:line="360" w:lineRule="auto"/>
              <w:ind w:firstLine="211" w:firstLineChars="100"/>
              <w:jc w:val="center"/>
              <w:rPr>
                <w:rFonts w:ascii="黑体" w:hAnsi="黑体" w:eastAsia="黑体" w:cs="宋体"/>
                <w:b/>
                <w:szCs w:val="21"/>
              </w:rPr>
            </w:pPr>
            <w:r>
              <w:rPr>
                <w:rFonts w:hint="eastAsia" w:ascii="黑体" w:hAnsi="黑体" w:eastAsia="黑体" w:cs="宋体"/>
                <w:b/>
                <w:szCs w:val="21"/>
              </w:rPr>
              <w:t>参考标准</w:t>
            </w:r>
          </w:p>
        </w:tc>
        <w:tc>
          <w:tcPr>
            <w:tcW w:w="450" w:type="pct"/>
            <w:vAlign w:val="center"/>
          </w:tcPr>
          <w:p>
            <w:pPr>
              <w:jc w:val="center"/>
              <w:rPr>
                <w:rFonts w:hint="eastAsia" w:ascii="黑体" w:hAnsi="黑体" w:eastAsia="黑体" w:cs="宋体"/>
                <w:b/>
                <w:szCs w:val="21"/>
              </w:rPr>
            </w:pPr>
            <w:r>
              <w:rPr>
                <w:rFonts w:hint="eastAsia" w:ascii="黑体" w:hAnsi="黑体" w:eastAsia="黑体" w:cs="宋体"/>
                <w:b/>
                <w:szCs w:val="21"/>
              </w:rPr>
              <w:t>分值</w:t>
            </w:r>
          </w:p>
          <w:p>
            <w:pPr>
              <w:jc w:val="center"/>
              <w:rPr>
                <w:rFonts w:ascii="黑体" w:hAnsi="黑体" w:eastAsia="黑体" w:cs="宋体"/>
                <w:b/>
                <w:szCs w:val="21"/>
              </w:rPr>
            </w:pPr>
            <w:r>
              <w:rPr>
                <w:rFonts w:hint="eastAsia" w:ascii="黑体" w:hAnsi="黑体" w:eastAsia="黑体" w:cs="宋体"/>
                <w:b/>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796" w:hRule="atLeast"/>
        </w:trPr>
        <w:tc>
          <w:tcPr>
            <w:tcW w:w="650" w:type="pct"/>
            <w:gridSpan w:val="2"/>
            <w:vAlign w:val="center"/>
          </w:tcPr>
          <w:p>
            <w:pPr>
              <w:spacing w:line="360" w:lineRule="auto"/>
              <w:rPr>
                <w:rFonts w:ascii="黑体" w:hAnsi="黑体" w:eastAsia="黑体" w:cs="宋体"/>
                <w:b/>
                <w:szCs w:val="21"/>
              </w:rPr>
            </w:pPr>
            <w:r>
              <w:rPr>
                <w:rFonts w:hint="eastAsia" w:ascii="黑体" w:hAnsi="黑体" w:eastAsia="黑体" w:cs="宋体"/>
                <w:b/>
                <w:szCs w:val="21"/>
              </w:rPr>
              <w:t>教师说课</w:t>
            </w:r>
          </w:p>
        </w:tc>
        <w:tc>
          <w:tcPr>
            <w:tcW w:w="3899" w:type="pct"/>
            <w:vAlign w:val="center"/>
          </w:tcPr>
          <w:p>
            <w:pPr>
              <w:jc w:val="left"/>
              <w:rPr>
                <w:rFonts w:ascii="宋体" w:hAnsi="宋体" w:eastAsia="宋体" w:cs="宋体"/>
                <w:szCs w:val="21"/>
              </w:rPr>
            </w:pPr>
            <w:r>
              <w:rPr>
                <w:rFonts w:hint="eastAsia" w:ascii="宋体" w:hAnsi="宋体" w:eastAsia="宋体" w:cs="宋体"/>
                <w:szCs w:val="21"/>
              </w:rPr>
              <w:t>1.教学设计思路清晰明确，实施路径明确合理，能够有效开展思政教学；</w:t>
            </w:r>
          </w:p>
          <w:p>
            <w:pPr>
              <w:jc w:val="left"/>
              <w:rPr>
                <w:rFonts w:hint="eastAsia" w:ascii="宋体" w:hAnsi="宋体" w:eastAsia="宋体" w:cs="宋体"/>
                <w:szCs w:val="21"/>
                <w:lang w:eastAsia="zh-CN"/>
              </w:rPr>
            </w:pPr>
            <w:r>
              <w:rPr>
                <w:rFonts w:hint="eastAsia" w:ascii="宋体" w:hAnsi="宋体" w:eastAsia="宋体" w:cs="宋体"/>
                <w:szCs w:val="21"/>
              </w:rPr>
              <w:t>2.能够说明教学过程中如何实现思政元素与专业教学内容有机融合</w:t>
            </w:r>
            <w:r>
              <w:rPr>
                <w:rFonts w:hint="eastAsia" w:ascii="宋体" w:hAnsi="宋体" w:eastAsia="宋体" w:cs="宋体"/>
                <w:szCs w:val="21"/>
                <w:lang w:eastAsia="zh-CN"/>
              </w:rPr>
              <w:t>；</w:t>
            </w:r>
          </w:p>
        </w:tc>
        <w:tc>
          <w:tcPr>
            <w:tcW w:w="450" w:type="pct"/>
            <w:vAlign w:val="center"/>
          </w:tcPr>
          <w:p>
            <w:pPr>
              <w:spacing w:line="360" w:lineRule="auto"/>
              <w:jc w:val="center"/>
              <w:rPr>
                <w:rFonts w:hint="default" w:ascii="宋体" w:hAnsi="宋体" w:eastAsia="宋体" w:cs="宋体"/>
                <w:szCs w:val="21"/>
                <w:lang w:val="en-US" w:eastAsia="zh-CN"/>
              </w:rPr>
            </w:pPr>
            <w:r>
              <w:rPr>
                <w:rFonts w:hint="eastAsia" w:ascii="宋体" w:hAnsi="宋体" w:eastAsia="宋体" w:cs="宋体"/>
                <w:szCs w:val="21"/>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709" w:hRule="atLeast"/>
        </w:trPr>
        <w:tc>
          <w:tcPr>
            <w:tcW w:w="285" w:type="pct"/>
            <w:vMerge w:val="restart"/>
            <w:vAlign w:val="center"/>
          </w:tcPr>
          <w:p>
            <w:pPr>
              <w:spacing w:line="360" w:lineRule="auto"/>
              <w:jc w:val="center"/>
              <w:rPr>
                <w:rFonts w:ascii="黑体" w:hAnsi="黑体" w:eastAsia="黑体" w:cs="宋体"/>
                <w:b/>
                <w:szCs w:val="21"/>
              </w:rPr>
            </w:pPr>
            <w:r>
              <w:rPr>
                <w:rFonts w:hint="eastAsia" w:ascii="黑体" w:hAnsi="黑体" w:eastAsia="黑体" w:cs="宋体"/>
                <w:b/>
                <w:szCs w:val="21"/>
              </w:rPr>
              <w:t>教学演示</w:t>
            </w:r>
          </w:p>
        </w:tc>
        <w:tc>
          <w:tcPr>
            <w:tcW w:w="366" w:type="pct"/>
            <w:vAlign w:val="center"/>
          </w:tcPr>
          <w:p>
            <w:pPr>
              <w:jc w:val="center"/>
              <w:rPr>
                <w:rFonts w:ascii="黑体" w:hAnsi="黑体" w:eastAsia="黑体" w:cs="宋体"/>
                <w:b/>
                <w:szCs w:val="21"/>
              </w:rPr>
            </w:pPr>
            <w:r>
              <w:rPr>
                <w:rFonts w:hint="eastAsia" w:ascii="黑体" w:hAnsi="黑体" w:eastAsia="黑体" w:cs="宋体"/>
                <w:b/>
                <w:szCs w:val="21"/>
              </w:rPr>
              <w:t>仪表仪态</w:t>
            </w:r>
          </w:p>
        </w:tc>
        <w:tc>
          <w:tcPr>
            <w:tcW w:w="3899" w:type="pct"/>
            <w:vAlign w:val="center"/>
          </w:tcPr>
          <w:p>
            <w:pPr>
              <w:jc w:val="left"/>
              <w:rPr>
                <w:rFonts w:ascii="宋体" w:hAnsi="宋体" w:eastAsia="宋体" w:cs="宋体"/>
                <w:szCs w:val="21"/>
              </w:rPr>
            </w:pPr>
            <w:r>
              <w:rPr>
                <w:rFonts w:hint="eastAsia" w:ascii="宋体" w:hAnsi="宋体" w:eastAsia="宋体" w:cs="宋体"/>
                <w:szCs w:val="21"/>
              </w:rPr>
              <w:t>1.着装整洁，姿态规范；</w:t>
            </w:r>
          </w:p>
          <w:p>
            <w:pPr>
              <w:jc w:val="left"/>
              <w:rPr>
                <w:rFonts w:hint="eastAsia" w:ascii="宋体" w:hAnsi="宋体" w:eastAsia="宋体" w:cs="宋体"/>
                <w:szCs w:val="21"/>
                <w:lang w:eastAsia="zh-CN"/>
              </w:rPr>
            </w:pPr>
            <w:r>
              <w:rPr>
                <w:rFonts w:hint="eastAsia" w:ascii="宋体" w:hAnsi="宋体" w:eastAsia="宋体" w:cs="宋体"/>
                <w:szCs w:val="21"/>
              </w:rPr>
              <w:t>2.教态大方，举止得体，精神饱满，热情亲切</w:t>
            </w:r>
            <w:r>
              <w:rPr>
                <w:rFonts w:hint="eastAsia" w:ascii="宋体" w:hAnsi="宋体" w:eastAsia="宋体" w:cs="宋体"/>
                <w:szCs w:val="21"/>
                <w:lang w:eastAsia="zh-CN"/>
              </w:rPr>
              <w:t>；</w:t>
            </w:r>
          </w:p>
        </w:tc>
        <w:tc>
          <w:tcPr>
            <w:tcW w:w="450" w:type="pct"/>
            <w:vAlign w:val="center"/>
          </w:tcPr>
          <w:p>
            <w:pPr>
              <w:spacing w:line="360"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832" w:hRule="atLeast"/>
        </w:trPr>
        <w:tc>
          <w:tcPr>
            <w:tcW w:w="285" w:type="pct"/>
            <w:vMerge w:val="continue"/>
            <w:vAlign w:val="center"/>
          </w:tcPr>
          <w:p>
            <w:pPr>
              <w:spacing w:line="360" w:lineRule="auto"/>
              <w:jc w:val="center"/>
              <w:rPr>
                <w:rFonts w:ascii="黑体" w:hAnsi="黑体" w:eastAsia="黑体" w:cs="宋体"/>
                <w:b/>
                <w:szCs w:val="21"/>
              </w:rPr>
            </w:pPr>
          </w:p>
        </w:tc>
        <w:tc>
          <w:tcPr>
            <w:tcW w:w="366" w:type="pct"/>
            <w:vAlign w:val="center"/>
          </w:tcPr>
          <w:p>
            <w:pPr>
              <w:jc w:val="center"/>
              <w:rPr>
                <w:rFonts w:ascii="黑体" w:hAnsi="黑体" w:eastAsia="黑体" w:cs="宋体"/>
                <w:b/>
                <w:szCs w:val="21"/>
              </w:rPr>
            </w:pPr>
            <w:r>
              <w:rPr>
                <w:rFonts w:hint="eastAsia" w:ascii="黑体" w:hAnsi="黑体" w:eastAsia="黑体" w:cs="宋体"/>
                <w:b/>
                <w:szCs w:val="21"/>
              </w:rPr>
              <w:t>教学语言</w:t>
            </w:r>
          </w:p>
        </w:tc>
        <w:tc>
          <w:tcPr>
            <w:tcW w:w="3899" w:type="pct"/>
            <w:vAlign w:val="center"/>
          </w:tcPr>
          <w:p>
            <w:pPr>
              <w:tabs>
                <w:tab w:val="left" w:pos="312"/>
              </w:tabs>
              <w:jc w:val="left"/>
              <w:rPr>
                <w:rFonts w:ascii="宋体" w:hAnsi="宋体" w:eastAsia="宋体" w:cs="宋体"/>
                <w:szCs w:val="21"/>
              </w:rPr>
            </w:pPr>
            <w:r>
              <w:rPr>
                <w:rFonts w:hint="eastAsia" w:ascii="宋体" w:hAnsi="宋体" w:eastAsia="宋体" w:cs="宋体"/>
                <w:szCs w:val="21"/>
              </w:rPr>
              <w:t>1.普通话标准，语速、音量适中、语言连贯；</w:t>
            </w:r>
          </w:p>
          <w:p>
            <w:pPr>
              <w:tabs>
                <w:tab w:val="left" w:pos="312"/>
              </w:tabs>
              <w:jc w:val="left"/>
              <w:rPr>
                <w:rFonts w:ascii="宋体" w:hAnsi="宋体" w:eastAsia="宋体" w:cs="宋体"/>
                <w:szCs w:val="21"/>
              </w:rPr>
            </w:pPr>
            <w:r>
              <w:rPr>
                <w:rFonts w:hint="eastAsia" w:ascii="宋体" w:hAnsi="宋体" w:eastAsia="宋体" w:cs="宋体"/>
                <w:szCs w:val="21"/>
              </w:rPr>
              <w:t>2.教学语言规范、清晰、准确、生动，表达简练；</w:t>
            </w:r>
          </w:p>
          <w:p>
            <w:pPr>
              <w:tabs>
                <w:tab w:val="left" w:pos="312"/>
              </w:tabs>
              <w:jc w:val="left"/>
              <w:rPr>
                <w:rFonts w:ascii="宋体" w:hAnsi="宋体" w:eastAsia="宋体" w:cs="宋体"/>
                <w:szCs w:val="21"/>
              </w:rPr>
            </w:pPr>
            <w:r>
              <w:rPr>
                <w:rFonts w:hint="eastAsia" w:ascii="宋体" w:hAnsi="宋体" w:eastAsia="宋体" w:cs="宋体"/>
                <w:bCs/>
                <w:szCs w:val="21"/>
              </w:rPr>
              <w:t>3.正确使用</w:t>
            </w:r>
            <w:r>
              <w:rPr>
                <w:rFonts w:hint="eastAsia" w:ascii="宋体" w:hAnsi="宋体" w:eastAsia="宋体" w:cs="宋体"/>
                <w:szCs w:val="21"/>
              </w:rPr>
              <w:t>本学科名词、术语，熟练使用专业外语词汇。</w:t>
            </w:r>
          </w:p>
        </w:tc>
        <w:tc>
          <w:tcPr>
            <w:tcW w:w="450" w:type="pct"/>
            <w:vAlign w:val="center"/>
          </w:tcPr>
          <w:p>
            <w:pPr>
              <w:spacing w:line="360" w:lineRule="auto"/>
              <w:jc w:val="center"/>
              <w:rPr>
                <w:rFonts w:hint="eastAsia" w:ascii="宋体" w:hAnsi="宋体" w:eastAsia="宋体" w:cs="宋体"/>
                <w:bCs/>
                <w:szCs w:val="21"/>
                <w:lang w:eastAsia="zh-CN"/>
              </w:rPr>
            </w:pPr>
            <w:r>
              <w:rPr>
                <w:rFonts w:hint="eastAsia" w:ascii="宋体" w:hAnsi="宋体" w:eastAsia="宋体" w:cs="宋体"/>
                <w:bCs/>
                <w:szCs w:val="21"/>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597" w:hRule="atLeast"/>
        </w:trPr>
        <w:tc>
          <w:tcPr>
            <w:tcW w:w="285" w:type="pct"/>
            <w:vMerge w:val="continue"/>
            <w:vAlign w:val="center"/>
          </w:tcPr>
          <w:p>
            <w:pPr>
              <w:spacing w:line="360" w:lineRule="auto"/>
              <w:jc w:val="center"/>
              <w:rPr>
                <w:rFonts w:ascii="黑体" w:hAnsi="黑体" w:eastAsia="黑体" w:cs="宋体"/>
                <w:b/>
                <w:color w:val="FF0000"/>
                <w:szCs w:val="21"/>
              </w:rPr>
            </w:pPr>
          </w:p>
        </w:tc>
        <w:tc>
          <w:tcPr>
            <w:tcW w:w="366" w:type="pct"/>
            <w:vAlign w:val="center"/>
          </w:tcPr>
          <w:p>
            <w:pPr>
              <w:jc w:val="center"/>
              <w:rPr>
                <w:rFonts w:ascii="黑体" w:hAnsi="黑体" w:eastAsia="黑体" w:cs="宋体"/>
                <w:b/>
                <w:szCs w:val="21"/>
              </w:rPr>
            </w:pPr>
            <w:r>
              <w:rPr>
                <w:rFonts w:hint="eastAsia" w:ascii="黑体" w:hAnsi="黑体" w:eastAsia="黑体" w:cs="宋体"/>
                <w:b/>
                <w:szCs w:val="21"/>
              </w:rPr>
              <w:t>课堂讲授</w:t>
            </w:r>
          </w:p>
        </w:tc>
        <w:tc>
          <w:tcPr>
            <w:tcW w:w="3899" w:type="pct"/>
            <w:vAlign w:val="center"/>
          </w:tcPr>
          <w:p>
            <w:pPr>
              <w:jc w:val="left"/>
              <w:rPr>
                <w:rFonts w:ascii="宋体" w:hAnsi="宋体" w:eastAsia="宋体" w:cs="宋体"/>
                <w:szCs w:val="21"/>
              </w:rPr>
            </w:pPr>
            <w:r>
              <w:rPr>
                <w:rFonts w:hint="eastAsia" w:ascii="宋体" w:hAnsi="宋体" w:eastAsia="宋体" w:cs="宋体"/>
                <w:szCs w:val="21"/>
              </w:rPr>
              <w:t>1.课堂结构紧凑，内容安排合理，体现课程的“两性一度”；</w:t>
            </w:r>
          </w:p>
          <w:p>
            <w:pPr>
              <w:jc w:val="left"/>
              <w:rPr>
                <w:rFonts w:ascii="宋体" w:hAnsi="宋体" w:eastAsia="宋体" w:cs="宋体"/>
                <w:szCs w:val="21"/>
              </w:rPr>
            </w:pPr>
            <w:r>
              <w:rPr>
                <w:rFonts w:hint="eastAsia" w:ascii="宋体" w:hAnsi="宋体" w:eastAsia="宋体" w:cs="宋体"/>
                <w:szCs w:val="21"/>
              </w:rPr>
              <w:t>2.教学方法体现“以学生为中心”的教育理念；</w:t>
            </w:r>
          </w:p>
          <w:p>
            <w:pPr>
              <w:jc w:val="left"/>
              <w:rPr>
                <w:rFonts w:ascii="宋体" w:hAnsi="宋体" w:eastAsia="宋体" w:cs="宋体"/>
                <w:szCs w:val="21"/>
              </w:rPr>
            </w:pPr>
            <w:r>
              <w:rPr>
                <w:rFonts w:hint="eastAsia" w:ascii="宋体" w:hAnsi="宋体" w:eastAsia="宋体" w:cs="宋体"/>
                <w:szCs w:val="21"/>
              </w:rPr>
              <w:t>3.讲课脱稿自如，具有激情，言语技能与体态技能得当；</w:t>
            </w:r>
          </w:p>
          <w:p>
            <w:pPr>
              <w:jc w:val="left"/>
              <w:rPr>
                <w:rFonts w:ascii="宋体" w:hAnsi="宋体" w:eastAsia="宋体" w:cs="宋体"/>
                <w:szCs w:val="21"/>
              </w:rPr>
            </w:pPr>
            <w:r>
              <w:rPr>
                <w:rFonts w:hint="eastAsia" w:ascii="宋体" w:hAnsi="宋体" w:eastAsia="宋体" w:cs="宋体"/>
                <w:szCs w:val="21"/>
              </w:rPr>
              <w:t>4.教学思路清晰，层次分明、具有逻辑性；</w:t>
            </w:r>
          </w:p>
          <w:p>
            <w:pPr>
              <w:jc w:val="left"/>
              <w:rPr>
                <w:rFonts w:hint="eastAsia" w:ascii="宋体" w:hAnsi="宋体" w:eastAsia="宋体" w:cs="宋体"/>
                <w:b/>
                <w:szCs w:val="21"/>
                <w:lang w:eastAsia="zh-CN"/>
              </w:rPr>
            </w:pPr>
            <w:r>
              <w:rPr>
                <w:rFonts w:hint="eastAsia" w:ascii="宋体" w:hAnsi="宋体" w:eastAsia="宋体" w:cs="宋体"/>
                <w:szCs w:val="21"/>
              </w:rPr>
              <w:t>5.重点突出、难点讲清楚，符合认知规律.有利于激发学生主动学习</w:t>
            </w:r>
            <w:r>
              <w:rPr>
                <w:rFonts w:hint="eastAsia" w:ascii="宋体" w:hAnsi="宋体" w:eastAsia="宋体" w:cs="宋体"/>
                <w:szCs w:val="21"/>
                <w:lang w:eastAsia="zh-CN"/>
              </w:rPr>
              <w:t>；</w:t>
            </w:r>
          </w:p>
        </w:tc>
        <w:tc>
          <w:tcPr>
            <w:tcW w:w="450" w:type="pct"/>
            <w:vAlign w:val="center"/>
          </w:tcPr>
          <w:p>
            <w:pPr>
              <w:spacing w:line="360" w:lineRule="auto"/>
              <w:jc w:val="center"/>
              <w:rPr>
                <w:rFonts w:ascii="宋体" w:hAnsi="宋体" w:eastAsia="宋体" w:cs="宋体"/>
                <w:szCs w:val="21"/>
              </w:rPr>
            </w:pPr>
            <w:r>
              <w:rPr>
                <w:rFonts w:hint="eastAsia" w:ascii="宋体" w:hAnsi="宋体" w:eastAsia="宋体" w:cs="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407" w:hRule="atLeast"/>
        </w:trPr>
        <w:tc>
          <w:tcPr>
            <w:tcW w:w="285" w:type="pct"/>
            <w:vMerge w:val="continue"/>
            <w:vAlign w:val="center"/>
          </w:tcPr>
          <w:p>
            <w:pPr>
              <w:spacing w:line="360" w:lineRule="auto"/>
              <w:jc w:val="center"/>
              <w:rPr>
                <w:rFonts w:ascii="黑体" w:hAnsi="黑体" w:eastAsia="黑体" w:cs="宋体"/>
                <w:b/>
                <w:color w:val="FF0000"/>
                <w:szCs w:val="21"/>
              </w:rPr>
            </w:pPr>
          </w:p>
        </w:tc>
        <w:tc>
          <w:tcPr>
            <w:tcW w:w="366" w:type="pct"/>
            <w:vAlign w:val="center"/>
          </w:tcPr>
          <w:p>
            <w:pPr>
              <w:jc w:val="center"/>
              <w:rPr>
                <w:rFonts w:ascii="黑体" w:hAnsi="黑体" w:eastAsia="黑体" w:cs="宋体"/>
                <w:b/>
                <w:color w:val="FF0000"/>
                <w:szCs w:val="21"/>
              </w:rPr>
            </w:pPr>
            <w:r>
              <w:rPr>
                <w:rFonts w:hint="eastAsia" w:ascii="黑体" w:hAnsi="黑体" w:eastAsia="黑体" w:cs="宋体"/>
                <w:b/>
                <w:szCs w:val="21"/>
              </w:rPr>
              <w:t>课件板书</w:t>
            </w:r>
          </w:p>
        </w:tc>
        <w:tc>
          <w:tcPr>
            <w:tcW w:w="3899" w:type="pct"/>
            <w:vAlign w:val="center"/>
          </w:tcPr>
          <w:p>
            <w:pPr>
              <w:jc w:val="left"/>
              <w:rPr>
                <w:rFonts w:ascii="宋体" w:hAnsi="宋体" w:eastAsia="宋体" w:cs="宋体"/>
                <w:szCs w:val="21"/>
              </w:rPr>
            </w:pPr>
            <w:r>
              <w:rPr>
                <w:rFonts w:hint="eastAsia" w:ascii="宋体" w:hAnsi="宋体" w:eastAsia="宋体" w:cs="宋体"/>
                <w:szCs w:val="21"/>
              </w:rPr>
              <w:t>1.课件和板书设计合理，工整规范，美观大方；</w:t>
            </w:r>
          </w:p>
          <w:p>
            <w:pPr>
              <w:jc w:val="left"/>
              <w:rPr>
                <w:rFonts w:ascii="宋体" w:hAnsi="宋体" w:eastAsia="宋体" w:cs="宋体"/>
                <w:szCs w:val="21"/>
              </w:rPr>
            </w:pPr>
            <w:r>
              <w:rPr>
                <w:rFonts w:hint="eastAsia" w:ascii="宋体" w:hAnsi="宋体" w:eastAsia="宋体" w:cs="宋体"/>
                <w:szCs w:val="21"/>
              </w:rPr>
              <w:t>2.课件界面设计合理，色彩搭配协调，风格统一；</w:t>
            </w:r>
          </w:p>
          <w:p>
            <w:pPr>
              <w:jc w:val="left"/>
              <w:rPr>
                <w:rFonts w:ascii="宋体" w:hAnsi="宋体" w:eastAsia="宋体" w:cs="宋体"/>
                <w:szCs w:val="21"/>
              </w:rPr>
            </w:pPr>
            <w:r>
              <w:rPr>
                <w:rFonts w:hint="eastAsia" w:ascii="宋体" w:hAnsi="宋体" w:eastAsia="宋体" w:cs="宋体"/>
                <w:szCs w:val="21"/>
              </w:rPr>
              <w:t>3.课件内容丰富，重点难点展现合理，层次分明，富有启发性；</w:t>
            </w:r>
          </w:p>
          <w:p>
            <w:pPr>
              <w:jc w:val="left"/>
              <w:rPr>
                <w:rFonts w:ascii="宋体" w:hAnsi="宋体" w:eastAsia="宋体" w:cs="宋体"/>
                <w:szCs w:val="21"/>
              </w:rPr>
            </w:pPr>
            <w:r>
              <w:rPr>
                <w:rFonts w:hint="eastAsia" w:ascii="宋体" w:hAnsi="宋体" w:eastAsia="宋体" w:cs="宋体"/>
                <w:szCs w:val="21"/>
              </w:rPr>
              <w:t>4.板书文图准确，层次分明，布局合理,有条理性；</w:t>
            </w:r>
          </w:p>
          <w:p>
            <w:pPr>
              <w:jc w:val="left"/>
              <w:rPr>
                <w:rFonts w:hint="eastAsia" w:ascii="宋体" w:hAnsi="宋体" w:eastAsia="宋体" w:cs="宋体"/>
                <w:b/>
                <w:szCs w:val="21"/>
                <w:lang w:eastAsia="zh-CN"/>
              </w:rPr>
            </w:pPr>
            <w:r>
              <w:rPr>
                <w:rFonts w:hint="eastAsia" w:ascii="宋体" w:hAnsi="宋体" w:eastAsia="宋体" w:cs="宋体"/>
                <w:szCs w:val="21"/>
              </w:rPr>
              <w:t>5.板书书写(绘图)规范，有示范性</w:t>
            </w:r>
            <w:r>
              <w:rPr>
                <w:rFonts w:hint="eastAsia" w:ascii="宋体" w:hAnsi="宋体" w:eastAsia="宋体" w:cs="宋体"/>
                <w:szCs w:val="21"/>
                <w:lang w:eastAsia="zh-CN"/>
              </w:rPr>
              <w:t>；</w:t>
            </w:r>
          </w:p>
        </w:tc>
        <w:tc>
          <w:tcPr>
            <w:tcW w:w="450" w:type="pct"/>
            <w:vAlign w:val="center"/>
          </w:tcPr>
          <w:p>
            <w:pPr>
              <w:spacing w:line="360" w:lineRule="auto"/>
              <w:jc w:val="center"/>
              <w:rPr>
                <w:rFonts w:hint="eastAsia" w:ascii="宋体" w:hAnsi="宋体" w:eastAsia="宋体" w:cs="宋体"/>
                <w:bCs/>
                <w:szCs w:val="21"/>
                <w:lang w:eastAsia="zh-CN"/>
              </w:rPr>
            </w:pPr>
            <w:r>
              <w:rPr>
                <w:rFonts w:hint="eastAsia" w:ascii="宋体" w:hAnsi="宋体" w:eastAsia="宋体" w:cs="宋体"/>
                <w:bCs/>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521" w:hRule="atLeast"/>
        </w:trPr>
        <w:tc>
          <w:tcPr>
            <w:tcW w:w="285" w:type="pct"/>
            <w:vMerge w:val="continue"/>
            <w:vAlign w:val="center"/>
          </w:tcPr>
          <w:p>
            <w:pPr>
              <w:spacing w:line="360" w:lineRule="auto"/>
              <w:ind w:firstLine="413" w:firstLineChars="196"/>
              <w:jc w:val="center"/>
              <w:rPr>
                <w:rFonts w:ascii="黑体" w:hAnsi="黑体" w:eastAsia="黑体" w:cs="宋体"/>
                <w:b/>
                <w:szCs w:val="21"/>
              </w:rPr>
            </w:pPr>
          </w:p>
        </w:tc>
        <w:tc>
          <w:tcPr>
            <w:tcW w:w="366" w:type="pct"/>
            <w:vAlign w:val="center"/>
          </w:tcPr>
          <w:p>
            <w:pPr>
              <w:jc w:val="center"/>
              <w:rPr>
                <w:rFonts w:ascii="黑体" w:hAnsi="黑体" w:eastAsia="黑体" w:cs="宋体"/>
                <w:b/>
                <w:szCs w:val="21"/>
              </w:rPr>
            </w:pPr>
            <w:r>
              <w:rPr>
                <w:rFonts w:hint="eastAsia" w:ascii="黑体" w:hAnsi="黑体" w:eastAsia="黑体" w:cs="宋体"/>
                <w:b/>
                <w:szCs w:val="21"/>
              </w:rPr>
              <w:t>课程思政</w:t>
            </w:r>
          </w:p>
        </w:tc>
        <w:tc>
          <w:tcPr>
            <w:tcW w:w="3899" w:type="pct"/>
            <w:vAlign w:val="center"/>
          </w:tcPr>
          <w:p>
            <w:pPr>
              <w:jc w:val="left"/>
              <w:rPr>
                <w:rFonts w:ascii="宋体" w:hAnsi="宋体" w:eastAsia="宋体" w:cs="宋体"/>
                <w:szCs w:val="21"/>
              </w:rPr>
            </w:pPr>
            <w:r>
              <w:rPr>
                <w:rFonts w:hint="eastAsia" w:ascii="宋体" w:hAnsi="宋体" w:eastAsia="宋体" w:cs="宋体"/>
                <w:szCs w:val="21"/>
              </w:rPr>
              <w:t>1.课程思政教学内容符合教学规律及学生认知规律，具有启发性；</w:t>
            </w:r>
          </w:p>
          <w:p>
            <w:pPr>
              <w:jc w:val="left"/>
              <w:rPr>
                <w:rFonts w:ascii="宋体" w:hAnsi="宋体" w:eastAsia="宋体" w:cs="宋体"/>
                <w:szCs w:val="21"/>
              </w:rPr>
            </w:pPr>
            <w:r>
              <w:rPr>
                <w:rFonts w:hint="eastAsia" w:ascii="宋体" w:hAnsi="宋体" w:eastAsia="宋体" w:cs="宋体"/>
                <w:szCs w:val="21"/>
              </w:rPr>
              <w:t>2.课程思政教学内容选取恰当，与专业知识契合度高，能够体现课程思政教育目标；</w:t>
            </w:r>
          </w:p>
          <w:p>
            <w:pPr>
              <w:jc w:val="left"/>
              <w:rPr>
                <w:rFonts w:ascii="宋体" w:hAnsi="宋体" w:eastAsia="宋体" w:cs="宋体"/>
                <w:szCs w:val="21"/>
              </w:rPr>
            </w:pPr>
            <w:r>
              <w:rPr>
                <w:rFonts w:hint="eastAsia" w:ascii="宋体" w:hAnsi="宋体" w:eastAsia="宋体" w:cs="宋体"/>
                <w:szCs w:val="21"/>
              </w:rPr>
              <w:t>3.课程思政教学内容自然融入专业知识讲授过程，时间掌</w:t>
            </w:r>
            <w:bookmarkStart w:id="0" w:name="_GoBack"/>
            <w:bookmarkEnd w:id="0"/>
            <w:r>
              <w:rPr>
                <w:rFonts w:hint="eastAsia" w:ascii="宋体" w:hAnsi="宋体" w:eastAsia="宋体" w:cs="宋体"/>
                <w:szCs w:val="21"/>
              </w:rPr>
              <w:t>握合理；</w:t>
            </w:r>
          </w:p>
          <w:p>
            <w:pPr>
              <w:jc w:val="left"/>
              <w:rPr>
                <w:rFonts w:ascii="宋体" w:hAnsi="宋体" w:eastAsia="宋体" w:cs="宋体"/>
                <w:szCs w:val="21"/>
              </w:rPr>
            </w:pPr>
            <w:r>
              <w:rPr>
                <w:rFonts w:hint="eastAsia" w:ascii="宋体" w:hAnsi="宋体" w:eastAsia="宋体" w:cs="宋体"/>
                <w:szCs w:val="21"/>
              </w:rPr>
              <w:t>4.学生获得感强，学习体验好，满意度高，能够潜移默化地对学生的思想认识、行为举止产生积极影响；</w:t>
            </w:r>
          </w:p>
          <w:p>
            <w:pPr>
              <w:jc w:val="left"/>
              <w:rPr>
                <w:rFonts w:hint="eastAsia" w:ascii="宋体" w:hAnsi="宋体" w:eastAsia="宋体" w:cs="宋体"/>
                <w:szCs w:val="21"/>
                <w:lang w:eastAsia="zh-CN"/>
              </w:rPr>
            </w:pPr>
            <w:r>
              <w:rPr>
                <w:rFonts w:hint="eastAsia" w:ascii="宋体" w:hAnsi="宋体" w:eastAsia="宋体" w:cs="宋体"/>
                <w:szCs w:val="21"/>
              </w:rPr>
              <w:t>5.能够恰当使用各种评价方法促进学生提升思想境界，激发学生对科学认知、情感和理想的认同</w:t>
            </w:r>
            <w:r>
              <w:rPr>
                <w:rFonts w:hint="eastAsia" w:ascii="宋体" w:hAnsi="宋体" w:eastAsia="宋体" w:cs="宋体"/>
                <w:szCs w:val="21"/>
                <w:lang w:eastAsia="zh-CN"/>
              </w:rPr>
              <w:t>；</w:t>
            </w:r>
          </w:p>
        </w:tc>
        <w:tc>
          <w:tcPr>
            <w:tcW w:w="450" w:type="pct"/>
            <w:vAlign w:val="center"/>
          </w:tcPr>
          <w:p>
            <w:pPr>
              <w:spacing w:line="360" w:lineRule="auto"/>
              <w:jc w:val="center"/>
              <w:rPr>
                <w:rFonts w:hint="default" w:ascii="宋体" w:hAnsi="宋体" w:eastAsia="宋体" w:cs="宋体"/>
                <w:szCs w:val="21"/>
                <w:lang w:val="en-US" w:eastAsia="zh-CN"/>
              </w:rPr>
            </w:pPr>
            <w:r>
              <w:rPr>
                <w:rFonts w:hint="eastAsia" w:ascii="宋体" w:hAnsi="宋体" w:eastAsia="宋体" w:cs="宋体"/>
                <w:szCs w:val="21"/>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751" w:hRule="atLeast"/>
        </w:trPr>
        <w:tc>
          <w:tcPr>
            <w:tcW w:w="285" w:type="pct"/>
            <w:vAlign w:val="center"/>
          </w:tcPr>
          <w:p>
            <w:pPr>
              <w:spacing w:line="360" w:lineRule="auto"/>
              <w:ind w:firstLine="413" w:firstLineChars="196"/>
              <w:jc w:val="center"/>
              <w:rPr>
                <w:rFonts w:ascii="黑体" w:hAnsi="黑体" w:eastAsia="黑体" w:cs="宋体"/>
                <w:b/>
                <w:szCs w:val="21"/>
              </w:rPr>
            </w:pPr>
          </w:p>
        </w:tc>
        <w:tc>
          <w:tcPr>
            <w:tcW w:w="366" w:type="pct"/>
            <w:vAlign w:val="center"/>
          </w:tcPr>
          <w:p>
            <w:pPr>
              <w:jc w:val="center"/>
              <w:rPr>
                <w:rFonts w:hint="eastAsia" w:ascii="黑体" w:hAnsi="黑体" w:eastAsia="黑体" w:cs="宋体"/>
                <w:b/>
                <w:szCs w:val="21"/>
              </w:rPr>
            </w:pPr>
            <w:r>
              <w:rPr>
                <w:rFonts w:hint="eastAsia" w:ascii="黑体" w:hAnsi="黑体" w:eastAsia="黑体" w:cs="宋体"/>
                <w:b/>
                <w:szCs w:val="21"/>
              </w:rPr>
              <w:t>教学效果</w:t>
            </w:r>
          </w:p>
        </w:tc>
        <w:tc>
          <w:tcPr>
            <w:tcW w:w="3899" w:type="pct"/>
            <w:vAlign w:val="center"/>
          </w:tcPr>
          <w:p>
            <w:pPr>
              <w:jc w:val="left"/>
              <w:rPr>
                <w:rFonts w:ascii="宋体" w:hAnsi="宋体" w:eastAsia="宋体" w:cs="宋体"/>
                <w:szCs w:val="21"/>
              </w:rPr>
            </w:pPr>
            <w:r>
              <w:rPr>
                <w:rFonts w:hint="eastAsia" w:ascii="宋体" w:hAnsi="宋体" w:eastAsia="宋体" w:cs="宋体"/>
                <w:szCs w:val="21"/>
              </w:rPr>
              <w:t>1.学生注意力集中，兴趣浓，课堂气氛好；</w:t>
            </w:r>
          </w:p>
          <w:p>
            <w:pPr>
              <w:jc w:val="left"/>
              <w:rPr>
                <w:rFonts w:ascii="宋体" w:hAnsi="宋体" w:eastAsia="宋体" w:cs="宋体"/>
                <w:szCs w:val="21"/>
              </w:rPr>
            </w:pPr>
            <w:r>
              <w:rPr>
                <w:rFonts w:hint="eastAsia" w:ascii="宋体" w:hAnsi="宋体" w:eastAsia="宋体" w:cs="宋体"/>
                <w:szCs w:val="21"/>
              </w:rPr>
              <w:t>2.能够较好地掌握专业知识，有利于分析和解决问题及创新能力的培养；</w:t>
            </w:r>
          </w:p>
          <w:p>
            <w:pPr>
              <w:jc w:val="left"/>
              <w:rPr>
                <w:rFonts w:hint="eastAsia" w:ascii="宋体" w:hAnsi="宋体" w:eastAsia="宋体" w:cs="宋体"/>
                <w:szCs w:val="21"/>
                <w:lang w:eastAsia="zh-CN"/>
              </w:rPr>
            </w:pPr>
            <w:r>
              <w:rPr>
                <w:rFonts w:hint="eastAsia" w:ascii="宋体" w:hAnsi="宋体" w:eastAsia="宋体" w:cs="宋体"/>
                <w:szCs w:val="21"/>
              </w:rPr>
              <w:t>3.能够进一步提高学生人生观、价值观和世界观，潜移默化地对学生的思想认识、行为举止产生积极影响</w:t>
            </w:r>
            <w:r>
              <w:rPr>
                <w:rFonts w:hint="eastAsia" w:ascii="宋体" w:hAnsi="宋体" w:eastAsia="宋体" w:cs="宋体"/>
                <w:szCs w:val="21"/>
                <w:lang w:eastAsia="zh-CN"/>
              </w:rPr>
              <w:t>；</w:t>
            </w:r>
          </w:p>
        </w:tc>
        <w:tc>
          <w:tcPr>
            <w:tcW w:w="450" w:type="pct"/>
            <w:vAlign w:val="center"/>
          </w:tcPr>
          <w:p>
            <w:pPr>
              <w:spacing w:line="360" w:lineRule="auto"/>
              <w:jc w:val="center"/>
              <w:rPr>
                <w:rFonts w:hint="default" w:ascii="宋体" w:hAnsi="宋体" w:eastAsia="宋体" w:cs="宋体"/>
                <w:szCs w:val="21"/>
                <w:lang w:val="en-US" w:eastAsia="zh-CN"/>
              </w:rPr>
            </w:pPr>
            <w:r>
              <w:rPr>
                <w:rFonts w:hint="eastAsia" w:ascii="宋体" w:hAnsi="宋体" w:eastAsia="宋体" w:cs="宋体"/>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012" w:hRule="atLeast"/>
        </w:trPr>
        <w:tc>
          <w:tcPr>
            <w:tcW w:w="650" w:type="pct"/>
            <w:gridSpan w:val="2"/>
            <w:vAlign w:val="center"/>
          </w:tcPr>
          <w:p>
            <w:pPr>
              <w:spacing w:line="360" w:lineRule="auto"/>
              <w:rPr>
                <w:rFonts w:ascii="黑体" w:hAnsi="黑体" w:eastAsia="黑体" w:cs="宋体"/>
                <w:b/>
                <w:szCs w:val="21"/>
              </w:rPr>
            </w:pPr>
            <w:r>
              <w:rPr>
                <w:rFonts w:hint="eastAsia" w:ascii="黑体" w:hAnsi="黑体" w:eastAsia="黑体" w:cs="宋体"/>
                <w:b/>
                <w:szCs w:val="21"/>
              </w:rPr>
              <w:t>陈述答辩</w:t>
            </w:r>
          </w:p>
        </w:tc>
        <w:tc>
          <w:tcPr>
            <w:tcW w:w="3899" w:type="pct"/>
            <w:vAlign w:val="center"/>
          </w:tcPr>
          <w:p>
            <w:pPr>
              <w:jc w:val="left"/>
              <w:rPr>
                <w:rFonts w:ascii="宋体" w:hAnsi="宋体" w:eastAsia="宋体" w:cs="宋体"/>
                <w:szCs w:val="21"/>
              </w:rPr>
            </w:pPr>
            <w:r>
              <w:rPr>
                <w:rFonts w:hint="eastAsia" w:ascii="宋体" w:hAnsi="宋体" w:eastAsia="宋体" w:cs="宋体"/>
                <w:szCs w:val="21"/>
              </w:rPr>
              <w:t>1.理论功底扎实，教学内容熟悉；</w:t>
            </w:r>
          </w:p>
          <w:p>
            <w:pPr>
              <w:jc w:val="left"/>
              <w:rPr>
                <w:rFonts w:hint="eastAsia" w:ascii="宋体" w:hAnsi="宋体" w:eastAsia="宋体" w:cs="宋体"/>
                <w:szCs w:val="21"/>
              </w:rPr>
            </w:pPr>
            <w:r>
              <w:rPr>
                <w:rFonts w:hint="eastAsia" w:ascii="宋体" w:hAnsi="宋体" w:eastAsia="宋体" w:cs="宋体"/>
                <w:szCs w:val="21"/>
              </w:rPr>
              <w:t>2.教育理念先进，注重思想引领和价值引导；</w:t>
            </w:r>
          </w:p>
          <w:p>
            <w:pPr>
              <w:jc w:val="left"/>
              <w:rPr>
                <w:rFonts w:hint="eastAsia" w:ascii="宋体" w:hAnsi="宋体" w:eastAsia="宋体" w:cs="宋体"/>
                <w:szCs w:val="21"/>
                <w:lang w:eastAsia="zh-CN"/>
              </w:rPr>
            </w:pPr>
            <w:r>
              <w:rPr>
                <w:rFonts w:hint="eastAsia" w:ascii="宋体" w:hAnsi="宋体" w:eastAsia="宋体" w:cs="宋体"/>
                <w:szCs w:val="21"/>
              </w:rPr>
              <w:t>3.反应敏捷，观点正确，理由充分</w:t>
            </w:r>
            <w:r>
              <w:rPr>
                <w:rFonts w:hint="eastAsia" w:ascii="宋体" w:hAnsi="宋体" w:eastAsia="宋体" w:cs="宋体"/>
                <w:szCs w:val="21"/>
                <w:lang w:eastAsia="zh-CN"/>
              </w:rPr>
              <w:t>；</w:t>
            </w:r>
          </w:p>
        </w:tc>
        <w:tc>
          <w:tcPr>
            <w:tcW w:w="450" w:type="pct"/>
            <w:vAlign w:val="center"/>
          </w:tcPr>
          <w:p>
            <w:pPr>
              <w:spacing w:line="360" w:lineRule="auto"/>
              <w:jc w:val="center"/>
              <w:rPr>
                <w:rFonts w:ascii="宋体" w:hAnsi="宋体" w:eastAsia="宋体" w:cs="宋体"/>
                <w:szCs w:val="21"/>
              </w:rPr>
            </w:pPr>
            <w:r>
              <w:rPr>
                <w:rFonts w:hint="eastAsia" w:ascii="宋体" w:hAnsi="宋体" w:eastAsia="宋体" w:cs="宋体"/>
                <w:szCs w:val="21"/>
              </w:rPr>
              <w:t>10</w:t>
            </w:r>
          </w:p>
        </w:tc>
      </w:tr>
    </w:tbl>
    <w:p>
      <w:pPr>
        <w:spacing w:line="20" w:lineRule="exact"/>
        <w:jc w:val="center"/>
        <w:rPr>
          <w:rFonts w:ascii="宋体" w:hAnsi="宋体" w:eastAsia="宋体" w:cs="宋体"/>
          <w:sz w:val="24"/>
        </w:rPr>
      </w:pPr>
    </w:p>
    <w:p>
      <w:pPr>
        <w:jc w:val="left"/>
        <w:rPr>
          <w:rFonts w:ascii="宋体" w:hAnsi="宋体" w:eastAsia="宋体" w:cs="宋体"/>
          <w:b/>
          <w:bCs/>
          <w:szCs w:val="21"/>
        </w:rPr>
      </w:pPr>
      <w:r>
        <w:rPr>
          <w:rFonts w:hint="eastAsia" w:ascii="宋体" w:hAnsi="宋体" w:eastAsia="宋体" w:cs="宋体"/>
          <w:b/>
          <w:bCs/>
          <w:szCs w:val="21"/>
        </w:rPr>
        <w:t>注：陈述答辩部分：无答辩得6分，有答辩环节的教师，根据其表现合理加减分。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7A45EA"/>
    <w:multiLevelType w:val="singleLevel"/>
    <w:tmpl w:val="787A45EA"/>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9"/>
  <w:doNotDisplayPageBoundaries w:val="1"/>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0930B9"/>
    <w:rsid w:val="00086AD9"/>
    <w:rsid w:val="000B78D0"/>
    <w:rsid w:val="001223AC"/>
    <w:rsid w:val="0012364D"/>
    <w:rsid w:val="002578A3"/>
    <w:rsid w:val="002945A6"/>
    <w:rsid w:val="003678F7"/>
    <w:rsid w:val="00446E8E"/>
    <w:rsid w:val="0046650A"/>
    <w:rsid w:val="004714DE"/>
    <w:rsid w:val="0063395D"/>
    <w:rsid w:val="00666BAE"/>
    <w:rsid w:val="006A3DBF"/>
    <w:rsid w:val="006D2B74"/>
    <w:rsid w:val="00786B98"/>
    <w:rsid w:val="00864BAA"/>
    <w:rsid w:val="00A34C28"/>
    <w:rsid w:val="00A6132F"/>
    <w:rsid w:val="00A9054C"/>
    <w:rsid w:val="00B71010"/>
    <w:rsid w:val="00C52E3A"/>
    <w:rsid w:val="00D26097"/>
    <w:rsid w:val="00E63417"/>
    <w:rsid w:val="00EC6FFA"/>
    <w:rsid w:val="113969CA"/>
    <w:rsid w:val="24513C98"/>
    <w:rsid w:val="2F0930B9"/>
    <w:rsid w:val="2FB87C31"/>
    <w:rsid w:val="5F0236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277</Words>
  <Characters>1579</Characters>
  <Lines>13</Lines>
  <Paragraphs>3</Paragraphs>
  <TotalTime>239</TotalTime>
  <ScaleCrop>false</ScaleCrop>
  <LinksUpToDate>false</LinksUpToDate>
  <CharactersWithSpaces>1853</CharactersWithSpaces>
  <Application>WPS Office_11.1.0.11173_F1E327BC-269C-435d-A152-05C5408002CA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2022-04-15T02:14:00Z</dcterms:created>
  <dc:creator>Administrator</dc:creator>
  <cp:lastModifiedBy>Administrator</cp:lastModifiedBy>
  <dcterms:modified xsi:type="dcterms:W3CDTF">2022-04-21T02:15:57Z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2052-11.1.0.11173</vt:lpwstr>
  </property>
  <property fmtid="{D5CDD505-2E9C-101B-9397-08002B2CF9AE}" pid="3" name="ICV">
    <vt:lpwstr>B7C78C557A2944F09D5F6B9180B255D3</vt:lpwstr>
  </property>
</Properties>
</file>