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9A8A52">
      <w:pPr>
        <w:spacing w:line="560" w:lineRule="exact"/>
        <w:jc w:val="both"/>
        <w:rPr>
          <w:rFonts w:hint="default" w:eastAsia="宋体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eastAsia="zh-CN"/>
        </w:rPr>
        <w:t>附件</w:t>
      </w:r>
      <w:r>
        <w:rPr>
          <w:rFonts w:hint="eastAsia"/>
          <w:b w:val="0"/>
          <w:bCs w:val="0"/>
          <w:sz w:val="28"/>
          <w:szCs w:val="28"/>
          <w:lang w:val="en-US" w:eastAsia="zh-CN"/>
        </w:rPr>
        <w:t xml:space="preserve"> 6</w:t>
      </w:r>
    </w:p>
    <w:p w14:paraId="003A3E45">
      <w:pPr>
        <w:spacing w:line="560" w:lineRule="exact"/>
        <w:jc w:val="center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  <w:lang w:eastAsia="zh-CN"/>
        </w:rPr>
        <w:t>教案评分标准</w:t>
      </w:r>
      <w:bookmarkStart w:id="0" w:name="_GoBack"/>
      <w:bookmarkEnd w:id="0"/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7"/>
        <w:gridCol w:w="1865"/>
        <w:gridCol w:w="5030"/>
        <w:gridCol w:w="1039"/>
      </w:tblGrid>
      <w:tr w14:paraId="3B289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noWrap w:val="0"/>
            <w:vAlign w:val="center"/>
          </w:tcPr>
          <w:p w14:paraId="2E1694C3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55ED0B39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  <w:lang w:eastAsia="zh-CN"/>
              </w:rPr>
              <w:t>评价指标</w:t>
            </w:r>
          </w:p>
        </w:tc>
        <w:tc>
          <w:tcPr>
            <w:tcW w:w="5030" w:type="dxa"/>
            <w:noWrap w:val="0"/>
            <w:vAlign w:val="center"/>
          </w:tcPr>
          <w:p w14:paraId="6EA1D1AE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  <w:lang w:eastAsia="zh-CN"/>
              </w:rPr>
              <w:t>评分内容</w:t>
            </w:r>
          </w:p>
        </w:tc>
        <w:tc>
          <w:tcPr>
            <w:tcW w:w="1039" w:type="dxa"/>
            <w:noWrap w:val="0"/>
            <w:vAlign w:val="center"/>
          </w:tcPr>
          <w:p w14:paraId="2B406F4A">
            <w:pPr>
              <w:spacing w:line="360" w:lineRule="auto"/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  <w:lang w:eastAsia="zh-CN"/>
              </w:rPr>
              <w:t>分值</w:t>
            </w:r>
          </w:p>
        </w:tc>
      </w:tr>
      <w:tr w14:paraId="17282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</w:trPr>
        <w:tc>
          <w:tcPr>
            <w:tcW w:w="587" w:type="dxa"/>
            <w:vMerge w:val="restart"/>
            <w:noWrap w:val="0"/>
            <w:vAlign w:val="center"/>
          </w:tcPr>
          <w:p w14:paraId="526A9529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教案首页</w:t>
            </w:r>
          </w:p>
        </w:tc>
        <w:tc>
          <w:tcPr>
            <w:tcW w:w="1865" w:type="dxa"/>
            <w:noWrap w:val="0"/>
            <w:vAlign w:val="center"/>
          </w:tcPr>
          <w:p w14:paraId="58E39C7C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项目</w:t>
            </w:r>
          </w:p>
        </w:tc>
        <w:tc>
          <w:tcPr>
            <w:tcW w:w="5030" w:type="dxa"/>
            <w:noWrap w:val="0"/>
            <w:vAlign w:val="center"/>
          </w:tcPr>
          <w:p w14:paraId="58FBE7C8">
            <w:pPr>
              <w:spacing w:line="360" w:lineRule="auto"/>
              <w:jc w:val="left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项目完整</w:t>
            </w:r>
          </w:p>
        </w:tc>
        <w:tc>
          <w:tcPr>
            <w:tcW w:w="1039" w:type="dxa"/>
            <w:noWrap w:val="0"/>
            <w:vAlign w:val="center"/>
          </w:tcPr>
          <w:p w14:paraId="4CF0D129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</w:tr>
      <w:tr w14:paraId="6696F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587" w:type="dxa"/>
            <w:vMerge w:val="continue"/>
            <w:noWrap w:val="0"/>
            <w:vAlign w:val="center"/>
          </w:tcPr>
          <w:p w14:paraId="56950342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62FAC883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内容</w:t>
            </w:r>
          </w:p>
        </w:tc>
        <w:tc>
          <w:tcPr>
            <w:tcW w:w="5030" w:type="dxa"/>
            <w:noWrap w:val="0"/>
            <w:vAlign w:val="center"/>
          </w:tcPr>
          <w:p w14:paraId="01553906">
            <w:pPr>
              <w:spacing w:line="360" w:lineRule="auto"/>
              <w:jc w:val="left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内容准确</w:t>
            </w:r>
          </w:p>
        </w:tc>
        <w:tc>
          <w:tcPr>
            <w:tcW w:w="1039" w:type="dxa"/>
            <w:noWrap w:val="0"/>
            <w:vAlign w:val="center"/>
          </w:tcPr>
          <w:p w14:paraId="37474AA9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</w:tr>
      <w:tr w14:paraId="01DC8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restart"/>
            <w:noWrap w:val="0"/>
            <w:vAlign w:val="center"/>
          </w:tcPr>
          <w:p w14:paraId="76E9947B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教案正文</w:t>
            </w:r>
          </w:p>
        </w:tc>
        <w:tc>
          <w:tcPr>
            <w:tcW w:w="1865" w:type="dxa"/>
            <w:noWrap w:val="0"/>
            <w:vAlign w:val="center"/>
          </w:tcPr>
          <w:p w14:paraId="257EA943">
            <w:pPr>
              <w:spacing w:line="360" w:lineRule="auto"/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教学目标陈述</w:t>
            </w:r>
          </w:p>
        </w:tc>
        <w:tc>
          <w:tcPr>
            <w:tcW w:w="5030" w:type="dxa"/>
            <w:noWrap w:val="0"/>
            <w:vAlign w:val="center"/>
          </w:tcPr>
          <w:p w14:paraId="7E705441">
            <w:pPr>
              <w:spacing w:line="360" w:lineRule="auto"/>
              <w:ind w:left="210" w:hanging="240" w:hangingChars="100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1.教学目标表述准确、全面，有层次，包括知识、能力、育人目标。</w:t>
            </w:r>
          </w:p>
        </w:tc>
        <w:tc>
          <w:tcPr>
            <w:tcW w:w="1039" w:type="dxa"/>
            <w:noWrap w:val="0"/>
            <w:vAlign w:val="center"/>
          </w:tcPr>
          <w:p w14:paraId="1D02D3D2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  <w:tr w14:paraId="750BC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 w14:paraId="759615BF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798D6888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教学内容安排</w:t>
            </w:r>
          </w:p>
        </w:tc>
        <w:tc>
          <w:tcPr>
            <w:tcW w:w="5030" w:type="dxa"/>
            <w:noWrap w:val="0"/>
            <w:vAlign w:val="center"/>
          </w:tcPr>
          <w:p w14:paraId="65A43C66"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1.依据教学大纲恰当安排教学内容。</w:t>
            </w:r>
          </w:p>
          <w:p w14:paraId="5DBB1590"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2.教学重点、难点分析把握准确、处理恰当。</w:t>
            </w:r>
          </w:p>
        </w:tc>
        <w:tc>
          <w:tcPr>
            <w:tcW w:w="1039" w:type="dxa"/>
            <w:noWrap w:val="0"/>
            <w:vAlign w:val="center"/>
          </w:tcPr>
          <w:p w14:paraId="2ACBF8CD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  <w:tr w14:paraId="76A54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 w14:paraId="36014C55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70D4058D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教学步骤设计</w:t>
            </w:r>
          </w:p>
        </w:tc>
        <w:tc>
          <w:tcPr>
            <w:tcW w:w="5030" w:type="dxa"/>
            <w:noWrap w:val="0"/>
            <w:vAlign w:val="center"/>
          </w:tcPr>
          <w:p w14:paraId="69CC5797"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1.课堂结构完整。</w:t>
            </w:r>
          </w:p>
          <w:p w14:paraId="1DF1D6EF"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2.每一部分内容设计合理。</w:t>
            </w:r>
          </w:p>
          <w:p w14:paraId="6EAA1070"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3.各部分时间分配得当。</w:t>
            </w:r>
          </w:p>
        </w:tc>
        <w:tc>
          <w:tcPr>
            <w:tcW w:w="1039" w:type="dxa"/>
            <w:noWrap w:val="0"/>
            <w:vAlign w:val="center"/>
          </w:tcPr>
          <w:p w14:paraId="148B592F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 w14:paraId="439B5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 w14:paraId="7575AE08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55A6DBAA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教学策略设计</w:t>
            </w:r>
          </w:p>
        </w:tc>
        <w:tc>
          <w:tcPr>
            <w:tcW w:w="5030" w:type="dxa"/>
            <w:noWrap w:val="0"/>
            <w:vAlign w:val="center"/>
          </w:tcPr>
          <w:p w14:paraId="13EF74E5">
            <w:pPr>
              <w:spacing w:line="360" w:lineRule="auto"/>
              <w:ind w:left="210" w:hanging="240" w:hangingChars="100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1.有突出重点化解难点的解决过程；教学安排合理、科学。</w:t>
            </w:r>
          </w:p>
          <w:p w14:paraId="505DCC46"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2.理论与实践相结合。</w:t>
            </w:r>
          </w:p>
        </w:tc>
        <w:tc>
          <w:tcPr>
            <w:tcW w:w="1039" w:type="dxa"/>
            <w:noWrap w:val="0"/>
            <w:vAlign w:val="center"/>
          </w:tcPr>
          <w:p w14:paraId="60873778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 w14:paraId="4C0FE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 w14:paraId="66C4569E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09BBC445">
            <w:pPr>
              <w:spacing w:line="36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val="en-US" w:eastAsia="zh-CN"/>
              </w:rPr>
              <w:t>教学方法设计</w:t>
            </w:r>
          </w:p>
        </w:tc>
        <w:tc>
          <w:tcPr>
            <w:tcW w:w="5030" w:type="dxa"/>
            <w:noWrap w:val="0"/>
            <w:vAlign w:val="center"/>
          </w:tcPr>
          <w:p w14:paraId="1BE77D53"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1.体现以学生为中心的教育理念。</w:t>
            </w:r>
          </w:p>
          <w:p w14:paraId="61B0FF0A"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2.能灵活运用启发引导等教学方法</w:t>
            </w:r>
          </w:p>
          <w:p w14:paraId="2C117FC2">
            <w:pPr>
              <w:spacing w:line="360" w:lineRule="auto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3.能综合运用现代信息技术手段和数字资源。</w:t>
            </w:r>
          </w:p>
          <w:p w14:paraId="196F336A"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4.体现创新型教学设计。</w:t>
            </w:r>
          </w:p>
        </w:tc>
        <w:tc>
          <w:tcPr>
            <w:tcW w:w="1039" w:type="dxa"/>
            <w:noWrap w:val="0"/>
            <w:vAlign w:val="center"/>
          </w:tcPr>
          <w:p w14:paraId="6DB80F77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</w:t>
            </w:r>
          </w:p>
        </w:tc>
      </w:tr>
      <w:tr w14:paraId="3CCAB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7" w:type="dxa"/>
            <w:vMerge w:val="continue"/>
            <w:noWrap w:val="0"/>
            <w:vAlign w:val="center"/>
          </w:tcPr>
          <w:p w14:paraId="0F46B92B">
            <w:pPr>
              <w:spacing w:line="360" w:lineRule="auto"/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865" w:type="dxa"/>
            <w:noWrap w:val="0"/>
            <w:vAlign w:val="center"/>
          </w:tcPr>
          <w:p w14:paraId="108D7232">
            <w:pPr>
              <w:spacing w:line="240" w:lineRule="auto"/>
              <w:jc w:val="center"/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育人因素</w:t>
            </w:r>
          </w:p>
          <w:p w14:paraId="67E41D64">
            <w:pPr>
              <w:spacing w:line="240" w:lineRule="auto"/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挖掘转化</w:t>
            </w:r>
          </w:p>
        </w:tc>
        <w:tc>
          <w:tcPr>
            <w:tcW w:w="5030" w:type="dxa"/>
            <w:noWrap w:val="0"/>
            <w:vAlign w:val="center"/>
          </w:tcPr>
          <w:p w14:paraId="4B637223">
            <w:pPr>
              <w:spacing w:line="360" w:lineRule="auto"/>
              <w:ind w:left="210" w:hanging="240" w:hangingChars="100"/>
              <w:jc w:val="left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1.具有良好的专业素养、科学精神、人文情怀，能充分提炼专业课程蕴含的育人因素。</w:t>
            </w:r>
          </w:p>
          <w:p w14:paraId="0A9DE6FF">
            <w:pPr>
              <w:spacing w:line="360" w:lineRule="auto"/>
              <w:jc w:val="left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2.将思政教育巧妙渗透于教学过程，润物无声。</w:t>
            </w:r>
          </w:p>
        </w:tc>
        <w:tc>
          <w:tcPr>
            <w:tcW w:w="1039" w:type="dxa"/>
            <w:noWrap w:val="0"/>
            <w:vAlign w:val="center"/>
          </w:tcPr>
          <w:p w14:paraId="1BB4F9D4">
            <w:pPr>
              <w:spacing w:line="360" w:lineRule="auto"/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</w:tr>
    </w:tbl>
    <w:p w14:paraId="3D8484C9"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 w14:paraId="45A725F6"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 w14:paraId="65524397"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 w14:paraId="0D296D43"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 w14:paraId="008538C9">
      <w:pPr>
        <w:spacing w:line="560" w:lineRule="exact"/>
        <w:jc w:val="center"/>
        <w:rPr>
          <w:rFonts w:hint="eastAsia"/>
          <w:b/>
          <w:bCs/>
          <w:sz w:val="36"/>
          <w:szCs w:val="36"/>
        </w:rPr>
      </w:pPr>
    </w:p>
    <w:p w14:paraId="79D18019">
      <w:pPr>
        <w:spacing w:line="560" w:lineRule="exact"/>
        <w:jc w:val="both"/>
        <w:rPr>
          <w:rFonts w:hint="eastAsia"/>
          <w:b/>
          <w:bCs/>
          <w:sz w:val="36"/>
          <w:szCs w:val="36"/>
        </w:rPr>
      </w:pPr>
    </w:p>
    <w:p w14:paraId="48A405B5">
      <w:pPr>
        <w:spacing w:line="560" w:lineRule="exact"/>
        <w:jc w:val="both"/>
        <w:rPr>
          <w:rFonts w:hint="eastAsia"/>
          <w:b/>
          <w:bCs/>
          <w:sz w:val="36"/>
          <w:szCs w:val="36"/>
        </w:rPr>
      </w:pPr>
    </w:p>
    <w:p w14:paraId="3D148921">
      <w:pPr>
        <w:spacing w:line="56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教学基本功比赛评分标准</w:t>
      </w:r>
      <w:r>
        <w:pict>
          <v:rect id="_x0000_s1026" o:spid="_x0000_s1026" o:spt="1" style="position:absolute;left:0pt;margin-left:530.15pt;margin-top:63.7pt;height:76.65pt;width:230.05pt;z-index:251659264;v-text-anchor:middle;mso-width-relative:page;mso-height-relative:page;" fillcolor="#FFFF00" filled="t" stroked="t" coordsize="21600,21600">
            <v:path/>
            <v:fill on="t" focussize="0,0"/>
            <v:stroke weight="1pt" color="#243F60" dashstyle="dashDot"/>
            <v:imagedata o:title=""/>
            <o:lock v:ext="edit"/>
            <v:textbox>
              <w:txbxContent>
                <w:p w14:paraId="6DCA2940">
                  <w:pPr>
                    <w:jc w:val="center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b/>
                      <w:color w:val="C00000"/>
                      <w:sz w:val="22"/>
                    </w:rPr>
                    <w:t xml:space="preserve"> 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每一项满分为</w:t>
                  </w:r>
                  <w:r>
                    <w:rPr>
                      <w:b/>
                      <w:color w:val="C00000"/>
                      <w:sz w:val="22"/>
                    </w:rPr>
                    <w:t>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</w:t>
                  </w:r>
                  <w:r>
                    <w:rPr>
                      <w:b/>
                      <w:color w:val="C00000"/>
                      <w:sz w:val="22"/>
                    </w:rPr>
                    <w:t>,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分三等，分值范围如下：</w:t>
                  </w:r>
                </w:p>
                <w:p w14:paraId="639700AE"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上等</w:t>
                  </w:r>
                  <w:r>
                    <w:rPr>
                      <w:b/>
                      <w:color w:val="C00000"/>
                      <w:sz w:val="22"/>
                    </w:rPr>
                    <w:t>:  9.0 —10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 w14:paraId="5E1A9DE6"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中等</w:t>
                  </w:r>
                  <w:r>
                    <w:rPr>
                      <w:b/>
                      <w:color w:val="C00000"/>
                      <w:sz w:val="22"/>
                    </w:rPr>
                    <w:t>:  7.0 —8.9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 w14:paraId="5EDE132A">
                  <w:pPr>
                    <w:ind w:firstLine="883" w:firstLineChars="400"/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下等：</w:t>
                  </w:r>
                  <w:r>
                    <w:rPr>
                      <w:b/>
                      <w:color w:val="C00000"/>
                      <w:sz w:val="22"/>
                    </w:rPr>
                    <w:t xml:space="preserve"> 5.0 —6.9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分。</w:t>
                  </w:r>
                </w:p>
                <w:p w14:paraId="262D9D59"/>
              </w:txbxContent>
            </v:textbox>
          </v:rect>
        </w:pict>
      </w:r>
      <w:r>
        <w:pict>
          <v:rect id="矩形 1" o:spid="_x0000_s1027" o:spt="1" style="position:absolute;left:0pt;margin-left:530.15pt;margin-top:63.7pt;height:76.65pt;width:230.05pt;z-index:251660288;v-text-anchor:middle;mso-width-relative:page;mso-height-relative:page;" fillcolor="#FFFF00" filled="t" stroked="t" coordsize="21600,21600">
            <v:path/>
            <v:fill on="t" focussize="0,0"/>
            <v:stroke weight="1pt" color="#243F60" dashstyle="dashDot"/>
            <v:imagedata o:title=""/>
            <o:lock v:ext="edit"/>
            <v:textbox>
              <w:txbxContent>
                <w:p w14:paraId="5EC99094">
                  <w:pPr>
                    <w:jc w:val="center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b/>
                      <w:color w:val="C00000"/>
                      <w:sz w:val="22"/>
                    </w:rPr>
                    <w:t xml:space="preserve"> 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每一项满分为</w:t>
                  </w:r>
                  <w:r>
                    <w:rPr>
                      <w:b/>
                      <w:color w:val="C00000"/>
                      <w:sz w:val="22"/>
                    </w:rPr>
                    <w:t>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</w:t>
                  </w:r>
                  <w:r>
                    <w:rPr>
                      <w:b/>
                      <w:color w:val="C00000"/>
                      <w:sz w:val="22"/>
                    </w:rPr>
                    <w:t>,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分三等，分值范围如下：</w:t>
                  </w:r>
                </w:p>
                <w:p w14:paraId="7B32F13F"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上等</w:t>
                  </w:r>
                  <w:r>
                    <w:rPr>
                      <w:b/>
                      <w:color w:val="C00000"/>
                      <w:sz w:val="22"/>
                    </w:rPr>
                    <w:t>:  9.0 —10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 w14:paraId="23184D64"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中等</w:t>
                  </w:r>
                  <w:r>
                    <w:rPr>
                      <w:b/>
                      <w:color w:val="C00000"/>
                      <w:sz w:val="22"/>
                    </w:rPr>
                    <w:t>:  7.0 —8.9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 w14:paraId="16D62EE0">
                  <w:pPr>
                    <w:ind w:firstLine="883" w:firstLineChars="400"/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下等：</w:t>
                  </w:r>
                  <w:r>
                    <w:rPr>
                      <w:b/>
                      <w:color w:val="C00000"/>
                      <w:sz w:val="22"/>
                    </w:rPr>
                    <w:t xml:space="preserve"> 5.0 —6.9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分。</w:t>
                  </w:r>
                </w:p>
                <w:p w14:paraId="2185F985"/>
              </w:txbxContent>
            </v:textbox>
          </v:rect>
        </w:pict>
      </w:r>
      <w:r>
        <w:pict>
          <v:rect id="_x0000_s1028" o:spid="_x0000_s1028" o:spt="1" style="position:absolute;left:0pt;margin-left:530.15pt;margin-top:63.7pt;height:76.65pt;width:230.05pt;z-index:251660288;v-text-anchor:middle;mso-width-relative:page;mso-height-relative:page;" fillcolor="#FFFF00" filled="t" stroked="t" coordsize="21600,21600">
            <v:path/>
            <v:fill on="t" focussize="0,0"/>
            <v:stroke weight="1pt" color="#243F60" dashstyle="dashDot"/>
            <v:imagedata o:title=""/>
            <o:lock v:ext="edit"/>
            <v:textbox>
              <w:txbxContent>
                <w:p w14:paraId="1444B6DE">
                  <w:pPr>
                    <w:jc w:val="center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b/>
                      <w:color w:val="C00000"/>
                      <w:sz w:val="22"/>
                    </w:rPr>
                    <w:t xml:space="preserve"> 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每一项满分为</w:t>
                  </w:r>
                  <w:r>
                    <w:rPr>
                      <w:b/>
                      <w:color w:val="C00000"/>
                      <w:sz w:val="22"/>
                    </w:rPr>
                    <w:t>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</w:t>
                  </w:r>
                  <w:r>
                    <w:rPr>
                      <w:b/>
                      <w:color w:val="C00000"/>
                      <w:sz w:val="22"/>
                    </w:rPr>
                    <w:t>,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分三等，分值范围如下：</w:t>
                  </w:r>
                </w:p>
                <w:p w14:paraId="6A2A83CE"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上等</w:t>
                  </w:r>
                  <w:r>
                    <w:rPr>
                      <w:b/>
                      <w:color w:val="C00000"/>
                      <w:sz w:val="22"/>
                    </w:rPr>
                    <w:t>:  9.0 —10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 w14:paraId="54D81EF2">
                  <w:pPr>
                    <w:ind w:firstLine="883" w:firstLineChars="400"/>
                    <w:rPr>
                      <w:b/>
                      <w:color w:val="C00000"/>
                      <w:sz w:val="22"/>
                    </w:rPr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中等</w:t>
                  </w:r>
                  <w:r>
                    <w:rPr>
                      <w:b/>
                      <w:color w:val="C00000"/>
                      <w:sz w:val="22"/>
                    </w:rPr>
                    <w:t>:  7.0 —8.9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分，</w:t>
                  </w:r>
                </w:p>
                <w:p w14:paraId="4511C881">
                  <w:pPr>
                    <w:ind w:firstLine="883" w:firstLineChars="400"/>
                  </w:pPr>
                  <w:r>
                    <w:rPr>
                      <w:rFonts w:hint="eastAsia"/>
                      <w:b/>
                      <w:color w:val="C00000"/>
                      <w:sz w:val="22"/>
                    </w:rPr>
                    <w:t>下等：</w:t>
                  </w:r>
                  <w:r>
                    <w:rPr>
                      <w:b/>
                      <w:color w:val="C00000"/>
                      <w:sz w:val="22"/>
                    </w:rPr>
                    <w:t xml:space="preserve"> 5.0 —6.9</w:t>
                  </w:r>
                  <w:r>
                    <w:rPr>
                      <w:rFonts w:hint="eastAsia"/>
                      <w:b/>
                      <w:color w:val="C00000"/>
                      <w:sz w:val="22"/>
                    </w:rPr>
                    <w:t>分。</w:t>
                  </w:r>
                </w:p>
                <w:p w14:paraId="760D169B"/>
              </w:txbxContent>
            </v:textbox>
          </v:rect>
        </w:pict>
      </w:r>
    </w:p>
    <w:tbl>
      <w:tblPr>
        <w:tblStyle w:val="4"/>
        <w:tblW w:w="82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76"/>
        <w:gridCol w:w="6488"/>
      </w:tblGrid>
      <w:tr w14:paraId="50B1F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82" w:hRule="atLeast"/>
          <w:jc w:val="center"/>
        </w:trPr>
        <w:tc>
          <w:tcPr>
            <w:tcW w:w="1776" w:type="dxa"/>
            <w:vAlign w:val="center"/>
          </w:tcPr>
          <w:p w14:paraId="69EB906D">
            <w:pPr>
              <w:spacing w:line="240" w:lineRule="auto"/>
              <w:jc w:val="center"/>
              <w:rPr>
                <w:rFonts w:ascii="仿宋_GB2312" w:hAnsi="宋体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</w:rPr>
              <w:t>评价指标</w:t>
            </w:r>
          </w:p>
        </w:tc>
        <w:tc>
          <w:tcPr>
            <w:tcW w:w="6488" w:type="dxa"/>
            <w:vAlign w:val="center"/>
          </w:tcPr>
          <w:p w14:paraId="3B97A68C">
            <w:pPr>
              <w:spacing w:line="240" w:lineRule="auto"/>
              <w:ind w:firstLine="281" w:firstLineChars="100"/>
              <w:jc w:val="center"/>
              <w:rPr>
                <w:rFonts w:ascii="仿宋_GB2312" w:hAnsi="宋体" w:eastAsia="仿宋_GB2312"/>
                <w:b/>
                <w:color w:val="auto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color w:val="auto"/>
                <w:sz w:val="28"/>
                <w:szCs w:val="28"/>
              </w:rPr>
              <w:t>评价标准</w:t>
            </w:r>
          </w:p>
        </w:tc>
      </w:tr>
      <w:tr w14:paraId="6756C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746" w:hRule="atLeast"/>
          <w:jc w:val="center"/>
        </w:trPr>
        <w:tc>
          <w:tcPr>
            <w:tcW w:w="1776" w:type="dxa"/>
            <w:vAlign w:val="center"/>
          </w:tcPr>
          <w:p w14:paraId="7E487837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一、仪表仪态</w:t>
            </w:r>
          </w:p>
          <w:p w14:paraId="1953A61A">
            <w:pPr>
              <w:spacing w:line="240" w:lineRule="auto"/>
              <w:ind w:firstLine="241" w:firstLineChars="100"/>
              <w:jc w:val="left"/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430AA40B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  <w:u w:val="none"/>
                <w:lang w:val="en-US" w:eastAsia="zh-CN"/>
              </w:rPr>
              <w:t>0.5</w:t>
            </w:r>
          </w:p>
        </w:tc>
        <w:tc>
          <w:tcPr>
            <w:tcW w:w="6488" w:type="dxa"/>
          </w:tcPr>
          <w:p w14:paraId="1E0E3FA6">
            <w:pPr>
              <w:spacing w:line="240" w:lineRule="auto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精神饱满</w:t>
            </w:r>
          </w:p>
          <w:p w14:paraId="56AC5EE3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着装整洁</w:t>
            </w:r>
          </w:p>
          <w:p w14:paraId="30A71462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姿态规范</w:t>
            </w:r>
          </w:p>
          <w:p w14:paraId="7FF6325A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端庄自然</w:t>
            </w:r>
          </w:p>
          <w:p w14:paraId="796C7B10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教态亲和</w:t>
            </w:r>
          </w:p>
        </w:tc>
      </w:tr>
      <w:tr w14:paraId="03C8F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435" w:hRule="atLeast"/>
          <w:jc w:val="center"/>
        </w:trPr>
        <w:tc>
          <w:tcPr>
            <w:tcW w:w="1776" w:type="dxa"/>
            <w:vAlign w:val="center"/>
          </w:tcPr>
          <w:p w14:paraId="159AF5BF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二、教学语言</w:t>
            </w:r>
          </w:p>
          <w:p w14:paraId="3A9AEBAE">
            <w:pPr>
              <w:spacing w:line="240" w:lineRule="auto"/>
              <w:ind w:firstLine="241" w:firstLineChars="100"/>
              <w:jc w:val="left"/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119067F0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b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val="en-US" w:eastAsia="zh-CN"/>
              </w:rPr>
              <w:t>2.0</w:t>
            </w:r>
          </w:p>
        </w:tc>
        <w:tc>
          <w:tcPr>
            <w:tcW w:w="6488" w:type="dxa"/>
          </w:tcPr>
          <w:p w14:paraId="5BFF11E7">
            <w:pPr>
              <w:spacing w:line="240" w:lineRule="auto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普通话标准、发音正确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语言简洁、没有不必要的重复</w:t>
            </w:r>
          </w:p>
          <w:p w14:paraId="50340A75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语速、音量适中、语言连贯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语调抑扬顿挫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舒缓适当</w:t>
            </w:r>
          </w:p>
          <w:p w14:paraId="392A7AE9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ascii="仿宋_GB2312" w:hAnsi="宋体" w:eastAsia="仿宋_GB2312"/>
                <w:bCs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正确使用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本学科名词、术语</w:t>
            </w:r>
          </w:p>
          <w:p w14:paraId="38A7B895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4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熟练使用专业外语词汇</w:t>
            </w:r>
          </w:p>
        </w:tc>
      </w:tr>
      <w:tr w14:paraId="22ACC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320" w:hRule="atLeast"/>
          <w:jc w:val="center"/>
        </w:trPr>
        <w:tc>
          <w:tcPr>
            <w:tcW w:w="1776" w:type="dxa"/>
            <w:vAlign w:val="center"/>
          </w:tcPr>
          <w:p w14:paraId="79163469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三、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课堂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讲授</w:t>
            </w:r>
          </w:p>
          <w:p w14:paraId="6F813E19">
            <w:pPr>
              <w:spacing w:line="240" w:lineRule="auto"/>
              <w:ind w:firstLine="241" w:firstLineChars="100"/>
              <w:jc w:val="left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2A2C38D2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3.0</w:t>
            </w:r>
          </w:p>
        </w:tc>
        <w:tc>
          <w:tcPr>
            <w:tcW w:w="6488" w:type="dxa"/>
          </w:tcPr>
          <w:p w14:paraId="15200587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脱稿讲授，感染力强</w:t>
            </w:r>
          </w:p>
          <w:p w14:paraId="1E7E5B33">
            <w:pPr>
              <w:spacing w:line="240" w:lineRule="auto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2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具有创新性，充分利用现代化教学工具</w:t>
            </w:r>
          </w:p>
          <w:p w14:paraId="587382BA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3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教学思路清晰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层次分明、具有逻辑性</w:t>
            </w:r>
          </w:p>
          <w:p w14:paraId="23AF79F3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4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重点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难点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突出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，讲解清楚</w:t>
            </w:r>
          </w:p>
          <w:p w14:paraId="74D00622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5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教学互动良好、有效，能有效调动学生思维和学习积极性</w:t>
            </w:r>
          </w:p>
          <w:p w14:paraId="484B128A">
            <w:pPr>
              <w:spacing w:line="240" w:lineRule="auto"/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6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言语技能与体态技能得当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，课堂应变能力强</w:t>
            </w:r>
          </w:p>
          <w:p w14:paraId="38CE8B5D">
            <w:pPr>
              <w:spacing w:line="240" w:lineRule="auto"/>
              <w:rPr>
                <w:rFonts w:hint="eastAsia" w:ascii="仿宋_GB2312" w:hAnsi="宋体" w:eastAsia="仿宋_GB2312"/>
                <w:color w:val="FF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.体现“以学生为中心”的教育理念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  <w:lang w:eastAsia="zh-CN"/>
              </w:rPr>
              <w:t>，教学方法先进</w:t>
            </w:r>
          </w:p>
        </w:tc>
      </w:tr>
      <w:tr w14:paraId="20CD1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10" w:hRule="atLeast"/>
          <w:jc w:val="center"/>
        </w:trPr>
        <w:tc>
          <w:tcPr>
            <w:tcW w:w="1776" w:type="dxa"/>
            <w:vAlign w:val="center"/>
          </w:tcPr>
          <w:p w14:paraId="6B534911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四、课件内容</w:t>
            </w:r>
          </w:p>
          <w:p w14:paraId="1A67B599">
            <w:pPr>
              <w:spacing w:line="240" w:lineRule="auto"/>
              <w:ind w:firstLine="241" w:firstLineChars="100"/>
              <w:jc w:val="left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46CDF3FF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2.0</w:t>
            </w:r>
          </w:p>
        </w:tc>
        <w:tc>
          <w:tcPr>
            <w:tcW w:w="6488" w:type="dxa"/>
          </w:tcPr>
          <w:p w14:paraId="7F0CE446">
            <w:pPr>
              <w:spacing w:line="240" w:lineRule="auto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内容丰富，展现合理，层次分明，富有启发性</w:t>
            </w:r>
          </w:p>
          <w:p w14:paraId="7F55A512">
            <w:pPr>
              <w:spacing w:line="240" w:lineRule="auto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重点和难点展现合理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  <w:lang w:eastAsia="zh-CN"/>
              </w:rPr>
              <w:t>，反映或联系学科发展新思想、新成果</w:t>
            </w:r>
          </w:p>
          <w:p w14:paraId="5FBC7D91">
            <w:pPr>
              <w:spacing w:line="240" w:lineRule="auto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  <w:lang w:eastAsia="zh-CN"/>
              </w:rPr>
              <w:t>信息技术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（文字、图片、声音、视频、动画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  <w:lang w:eastAsia="zh-CN"/>
              </w:rPr>
              <w:t>等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）应用合理</w:t>
            </w:r>
          </w:p>
          <w:p w14:paraId="5683D31C">
            <w:pPr>
              <w:spacing w:line="240" w:lineRule="auto"/>
              <w:rPr>
                <w:rFonts w:ascii="仿宋_GB2312" w:hAnsi="宋体" w:eastAsia="仿宋_GB2312" w:cs="宋体"/>
                <w:kern w:val="0"/>
                <w:sz w:val="24"/>
                <w:szCs w:val="24"/>
                <w:u w:val="none"/>
              </w:rPr>
            </w:pPr>
            <w:r>
              <w:rPr>
                <w:rFonts w:ascii="仿宋_GB2312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界面设计合理，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u w:val="none"/>
              </w:rPr>
              <w:t>色彩搭配协调，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风格统一</w:t>
            </w:r>
          </w:p>
          <w:p w14:paraId="06485ED4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运行流畅，操作方式简便、快捷，媒体播放可控</w:t>
            </w:r>
          </w:p>
          <w:p w14:paraId="3F716C11">
            <w:pPr>
              <w:spacing w:line="240" w:lineRule="auto"/>
              <w:rPr>
                <w:rFonts w:hint="eastAsia" w:ascii="仿宋_GB2312" w:eastAsia="仿宋_GB2312"/>
                <w:sz w:val="24"/>
                <w:szCs w:val="24"/>
                <w:u w:val="none"/>
              </w:rPr>
            </w:pPr>
            <w:r>
              <w:rPr>
                <w:rFonts w:ascii="仿宋_GB2312" w:eastAsia="仿宋_GB2312"/>
                <w:sz w:val="24"/>
                <w:szCs w:val="24"/>
                <w:u w:val="none"/>
              </w:rPr>
              <w:t>6.</w:t>
            </w:r>
            <w:r>
              <w:rPr>
                <w:rFonts w:hint="eastAsia" w:ascii="仿宋_GB2312" w:eastAsia="仿宋_GB2312"/>
                <w:sz w:val="24"/>
                <w:szCs w:val="24"/>
                <w:u w:val="none"/>
              </w:rPr>
              <w:t>导航方便合理，路径可选</w:t>
            </w:r>
          </w:p>
          <w:p w14:paraId="7823DCCD">
            <w:pPr>
              <w:spacing w:line="240" w:lineRule="auto"/>
              <w:rPr>
                <w:rFonts w:hint="default" w:ascii="仿宋_GB2312" w:eastAsia="仿宋_GB231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u w:val="none"/>
                <w:lang w:val="en-US" w:eastAsia="zh-CN"/>
              </w:rPr>
              <w:t>7.未出现可能泄露个人信息等资料</w:t>
            </w:r>
          </w:p>
        </w:tc>
      </w:tr>
      <w:tr w14:paraId="0FE22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07" w:hRule="atLeast"/>
          <w:jc w:val="center"/>
        </w:trPr>
        <w:tc>
          <w:tcPr>
            <w:tcW w:w="1776" w:type="dxa"/>
            <w:vAlign w:val="center"/>
          </w:tcPr>
          <w:p w14:paraId="0522230A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五、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  <w:lang w:eastAsia="zh-CN"/>
              </w:rPr>
              <w:t>教学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板书</w:t>
            </w:r>
          </w:p>
          <w:p w14:paraId="3F205F85">
            <w:pPr>
              <w:spacing w:line="240" w:lineRule="auto"/>
              <w:ind w:firstLine="241" w:firstLineChars="100"/>
              <w:jc w:val="left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5830EBB0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0.5</w:t>
            </w:r>
          </w:p>
        </w:tc>
        <w:tc>
          <w:tcPr>
            <w:tcW w:w="6488" w:type="dxa"/>
          </w:tcPr>
          <w:p w14:paraId="12C6A4E4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文图准确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有科学性</w:t>
            </w:r>
          </w:p>
          <w:p w14:paraId="4BC228F1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层次分明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有条理性</w:t>
            </w:r>
          </w:p>
          <w:p w14:paraId="5F68B674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书写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(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绘图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)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规范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有示范性</w:t>
            </w:r>
          </w:p>
          <w:p w14:paraId="7CFFA38C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重点突出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有计划性</w:t>
            </w:r>
          </w:p>
          <w:p w14:paraId="005E4782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布局合理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有艺术性</w:t>
            </w:r>
          </w:p>
          <w:p w14:paraId="65ECAB09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6.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形式多样</w:t>
            </w: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,</w:t>
            </w:r>
            <w:r>
              <w:rPr>
                <w:rFonts w:hint="eastAsia" w:ascii="仿宋_GB2312" w:hAnsi="宋体" w:eastAsia="仿宋_GB2312"/>
                <w:bCs/>
                <w:sz w:val="24"/>
                <w:szCs w:val="24"/>
                <w:u w:val="none"/>
              </w:rPr>
              <w:t>有启发性</w:t>
            </w:r>
          </w:p>
        </w:tc>
      </w:tr>
      <w:tr w14:paraId="31D79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081" w:hRule="atLeast"/>
          <w:jc w:val="center"/>
        </w:trPr>
        <w:tc>
          <w:tcPr>
            <w:tcW w:w="1776" w:type="dxa"/>
            <w:vAlign w:val="center"/>
          </w:tcPr>
          <w:p w14:paraId="00CF25BF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六、课堂结构</w:t>
            </w:r>
          </w:p>
          <w:p w14:paraId="67E77350">
            <w:pPr>
              <w:spacing w:line="240" w:lineRule="auto"/>
              <w:ind w:firstLine="241" w:firstLineChars="100"/>
              <w:jc w:val="left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6CC69944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1.0</w:t>
            </w:r>
          </w:p>
        </w:tc>
        <w:tc>
          <w:tcPr>
            <w:tcW w:w="6488" w:type="dxa"/>
          </w:tcPr>
          <w:p w14:paraId="709F4E2A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导入方法得当</w:t>
            </w:r>
          </w:p>
          <w:p w14:paraId="116E7A53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归纳总结方法得当、简明扼要，重点突出</w:t>
            </w:r>
          </w:p>
          <w:p w14:paraId="38E3E9D4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时间掌握合理</w:t>
            </w:r>
          </w:p>
        </w:tc>
      </w:tr>
      <w:tr w14:paraId="30642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081" w:hRule="atLeast"/>
          <w:jc w:val="center"/>
        </w:trPr>
        <w:tc>
          <w:tcPr>
            <w:tcW w:w="1776" w:type="dxa"/>
            <w:vAlign w:val="center"/>
          </w:tcPr>
          <w:p w14:paraId="423D1F97">
            <w:pPr>
              <w:spacing w:line="240" w:lineRule="auto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sz w:val="24"/>
                <w:szCs w:val="24"/>
                <w:u w:val="none"/>
              </w:rPr>
              <w:t>七、课程思政</w:t>
            </w:r>
          </w:p>
          <w:p w14:paraId="21B63493">
            <w:pPr>
              <w:spacing w:line="240" w:lineRule="auto"/>
              <w:ind w:firstLine="241" w:firstLineChars="100"/>
              <w:jc w:val="left"/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（满分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/>
                <w:b/>
                <w:color w:val="FF0000"/>
                <w:sz w:val="24"/>
                <w:szCs w:val="24"/>
                <w:u w:val="none"/>
              </w:rPr>
              <w:t>分）</w:t>
            </w:r>
          </w:p>
          <w:p w14:paraId="587E0BA7">
            <w:pPr>
              <w:spacing w:line="240" w:lineRule="auto"/>
              <w:ind w:firstLine="482" w:firstLineChars="200"/>
              <w:jc w:val="left"/>
              <w:rPr>
                <w:rFonts w:hint="default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eastAsia="zh-CN"/>
              </w:rPr>
              <w:t>权重</w:t>
            </w:r>
            <w:r>
              <w:rPr>
                <w:rFonts w:hint="eastAsia" w:ascii="仿宋_GB2312" w:hAnsi="宋体" w:eastAsia="仿宋_GB2312"/>
                <w:b/>
                <w:bCs w:val="0"/>
                <w:color w:val="auto"/>
                <w:sz w:val="24"/>
                <w:szCs w:val="24"/>
                <w:u w:val="none"/>
                <w:lang w:val="en-US" w:eastAsia="zh-CN"/>
              </w:rPr>
              <w:t>1.0</w:t>
            </w:r>
          </w:p>
          <w:p w14:paraId="5679BED3">
            <w:pPr>
              <w:spacing w:line="240" w:lineRule="auto"/>
              <w:ind w:firstLine="472" w:firstLineChars="196"/>
              <w:jc w:val="left"/>
              <w:rPr>
                <w:rFonts w:ascii="仿宋_GB2312" w:hAnsi="宋体" w:eastAsia="仿宋_GB2312"/>
                <w:b/>
                <w:sz w:val="24"/>
                <w:szCs w:val="24"/>
                <w:u w:val="none"/>
              </w:rPr>
            </w:pPr>
          </w:p>
        </w:tc>
        <w:tc>
          <w:tcPr>
            <w:tcW w:w="6488" w:type="dxa"/>
          </w:tcPr>
          <w:p w14:paraId="794FCA06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1.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育人目标与新时代建设对人才培养的需求吻合</w:t>
            </w:r>
          </w:p>
          <w:p w14:paraId="5FC03B6F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2.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育人目标与课程所属学科、专业的契合度高</w:t>
            </w:r>
          </w:p>
          <w:p w14:paraId="1D39E32D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3.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能充分提炼专业课程蕴含的育人因素</w:t>
            </w:r>
          </w:p>
          <w:p w14:paraId="6FA3D6A7">
            <w:pPr>
              <w:spacing w:line="240" w:lineRule="auto"/>
              <w:rPr>
                <w:rFonts w:ascii="仿宋_GB2312" w:hAnsi="宋体" w:eastAsia="仿宋_GB2312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4.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善于将思政教育巧妙渗透教学过程，润物无声</w:t>
            </w:r>
          </w:p>
          <w:p w14:paraId="43C8EA50">
            <w:pPr>
              <w:spacing w:line="240" w:lineRule="auto"/>
              <w:rPr>
                <w:rFonts w:eastAsia="仿宋_GB2312" w:cs="Calibri"/>
                <w:sz w:val="24"/>
                <w:szCs w:val="24"/>
                <w:u w:val="none"/>
              </w:rPr>
            </w:pPr>
            <w:r>
              <w:rPr>
                <w:rFonts w:ascii="仿宋_GB2312" w:hAnsi="宋体" w:eastAsia="仿宋_GB2312"/>
                <w:sz w:val="24"/>
                <w:szCs w:val="24"/>
                <w:u w:val="none"/>
              </w:rPr>
              <w:t>5.</w:t>
            </w:r>
            <w:r>
              <w:rPr>
                <w:rFonts w:hint="eastAsia" w:ascii="仿宋_GB2312" w:hAnsi="宋体" w:eastAsia="仿宋_GB2312"/>
                <w:sz w:val="24"/>
                <w:szCs w:val="24"/>
                <w:u w:val="none"/>
              </w:rPr>
              <w:t>具有良好的专业素养、科学精神、人文情怀</w:t>
            </w:r>
          </w:p>
        </w:tc>
      </w:tr>
    </w:tbl>
    <w:p w14:paraId="1558545E">
      <w:pPr>
        <w:spacing w:line="20" w:lineRule="exact"/>
      </w:pPr>
    </w:p>
    <w:sectPr>
      <w:pgSz w:w="11906" w:h="16838"/>
      <w:pgMar w:top="567" w:right="1797" w:bottom="567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jUxM2E1NGQ0ZWVjZjBkYzJkYjBmNjBlZGZjNDU2MGEifQ=="/>
  </w:docVars>
  <w:rsids>
    <w:rsidRoot w:val="00F14658"/>
    <w:rsid w:val="00047D26"/>
    <w:rsid w:val="001F7548"/>
    <w:rsid w:val="002B19B6"/>
    <w:rsid w:val="002F139B"/>
    <w:rsid w:val="00336448"/>
    <w:rsid w:val="003A1265"/>
    <w:rsid w:val="0042276E"/>
    <w:rsid w:val="00494022"/>
    <w:rsid w:val="005808C6"/>
    <w:rsid w:val="006A4EDA"/>
    <w:rsid w:val="00846E20"/>
    <w:rsid w:val="009D4F54"/>
    <w:rsid w:val="00A82CD9"/>
    <w:rsid w:val="00B97D1C"/>
    <w:rsid w:val="00C127AB"/>
    <w:rsid w:val="00CB760E"/>
    <w:rsid w:val="00D16226"/>
    <w:rsid w:val="00E01091"/>
    <w:rsid w:val="00E86BC4"/>
    <w:rsid w:val="00EB356C"/>
    <w:rsid w:val="00F14658"/>
    <w:rsid w:val="04781E05"/>
    <w:rsid w:val="094335A7"/>
    <w:rsid w:val="0A3D5E37"/>
    <w:rsid w:val="19070041"/>
    <w:rsid w:val="36AB3562"/>
    <w:rsid w:val="37B61FD6"/>
    <w:rsid w:val="412B2234"/>
    <w:rsid w:val="4C323D06"/>
    <w:rsid w:val="4DD36825"/>
    <w:rsid w:val="52747260"/>
    <w:rsid w:val="561A5894"/>
    <w:rsid w:val="578668D1"/>
    <w:rsid w:val="65C45152"/>
    <w:rsid w:val="69225276"/>
    <w:rsid w:val="792A6D45"/>
    <w:rsid w:val="7E8D3603"/>
    <w:rsid w:val="7F060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3">
    <w:name w:val="header"/>
    <w:basedOn w:val="1"/>
    <w:link w:val="8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table" w:styleId="5">
    <w:name w:val="Table Grid"/>
    <w:basedOn w:val="4"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脚 Char"/>
    <w:link w:val="2"/>
    <w:semiHidden/>
    <w:qFormat/>
    <w:locked/>
    <w:uiPriority w:val="99"/>
    <w:rPr>
      <w:rFonts w:cs="Times New Roman"/>
      <w:sz w:val="18"/>
      <w:szCs w:val="18"/>
    </w:rPr>
  </w:style>
  <w:style w:type="character" w:customStyle="1" w:styleId="8">
    <w:name w:val="页眉 Char"/>
    <w:link w:val="3"/>
    <w:semiHidden/>
    <w:qFormat/>
    <w:locked/>
    <w:uiPriority w:val="99"/>
    <w:rPr>
      <w:rFonts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7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白骨</Company>
  <Pages>2</Pages>
  <Words>1026</Words>
  <Characters>1104</Characters>
  <Lines>1</Lines>
  <Paragraphs>1</Paragraphs>
  <TotalTime>6</TotalTime>
  <ScaleCrop>false</ScaleCrop>
  <LinksUpToDate>false</LinksUpToDate>
  <CharactersWithSpaces>1105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2014-03-15T02:55:00Z</dcterms:created>
  <dc:creator>微软用户</dc:creator>
  <cp:lastModifiedBy>coco</cp:lastModifiedBy>
  <cp:lastPrinted>2016-07-06T02:21:00Z</cp:lastPrinted>
  <dcterms:modified xsi:type="dcterms:W3CDTF">2025-03-03T08:16:10Z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03268082AA184D4A87386ED7661F4D1F</vt:lpwstr>
  </property>
  <property fmtid="{D5CDD505-2E9C-101B-9397-08002B2CF9AE}" pid="4" name="KSOTemplateDocerSaveRecord">
    <vt:lpwstr>eyJoZGlkIjoiNjUxM2E1NGQ0ZWVjZjBkYzJkYjBmNjBlZGZjNDU2MGEiLCJ1c2VySWQiOiI0NTg1MzEyMTMifQ==</vt:lpwstr>
  </property>
</Properties>
</file>