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F3A89">
      <w:pPr>
        <w:pStyle w:val="2"/>
        <w:jc w:val="center"/>
        <w:rPr>
          <w:rFonts w:hint="eastAsia" w:ascii="宋体" w:hAnsi="宋体" w:eastAsia="宋体"/>
          <w:sz w:val="36"/>
          <w:szCs w:val="36"/>
          <w:u w:val="single"/>
        </w:rPr>
      </w:pPr>
      <w:r>
        <w:rPr>
          <w:rFonts w:hint="eastAsia" w:ascii="宋体" w:hAnsi="宋体" w:eastAsia="宋体"/>
          <w:sz w:val="36"/>
          <w:szCs w:val="36"/>
        </w:rPr>
        <w:t>承德医学院专业</w:t>
      </w:r>
      <w:r>
        <w:rPr>
          <w:rFonts w:hint="eastAsia" w:ascii="宋体" w:hAnsi="宋体" w:eastAsia="宋体"/>
          <w:sz w:val="36"/>
          <w:szCs w:val="36"/>
          <w:u w:val="none"/>
          <w:lang w:val="en-US" w:eastAsia="zh-CN"/>
        </w:rPr>
        <w:t>2026</w:t>
      </w:r>
      <w:r>
        <w:rPr>
          <w:rFonts w:hint="eastAsia" w:ascii="宋体" w:hAnsi="宋体" w:eastAsia="宋体"/>
          <w:sz w:val="36"/>
          <w:szCs w:val="36"/>
        </w:rPr>
        <w:t>届学生优秀毕业论文（设计）推荐表</w:t>
      </w:r>
    </w:p>
    <w:tbl>
      <w:tblPr>
        <w:tblStyle w:val="3"/>
        <w:tblW w:w="146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4"/>
        <w:gridCol w:w="1635"/>
        <w:gridCol w:w="1650"/>
        <w:gridCol w:w="1215"/>
        <w:gridCol w:w="7110"/>
        <w:gridCol w:w="1290"/>
        <w:gridCol w:w="870"/>
      </w:tblGrid>
      <w:tr w14:paraId="31C45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854" w:type="dxa"/>
            <w:vAlign w:val="center"/>
          </w:tcPr>
          <w:p w14:paraId="66412509">
            <w:pPr>
              <w:ind w:firstLine="120" w:firstLineChars="50"/>
              <w:jc w:val="center"/>
              <w:rPr>
                <w:rFonts w:hint="eastAsia"/>
                <w:b/>
                <w:bCs/>
                <w:sz w:val="24"/>
                <w:szCs w:val="24"/>
              </w:rPr>
            </w:pPr>
            <w:r>
              <w:rPr>
                <w:rFonts w:hint="eastAsia"/>
                <w:b/>
                <w:bCs/>
                <w:sz w:val="24"/>
                <w:szCs w:val="24"/>
              </w:rPr>
              <w:t>序号</w:t>
            </w:r>
          </w:p>
        </w:tc>
        <w:tc>
          <w:tcPr>
            <w:tcW w:w="1635" w:type="dxa"/>
            <w:vAlign w:val="center"/>
          </w:tcPr>
          <w:p w14:paraId="462CE142">
            <w:pPr>
              <w:jc w:val="center"/>
              <w:rPr>
                <w:rFonts w:hint="default" w:eastAsia="宋体"/>
                <w:b/>
                <w:bCs/>
                <w:sz w:val="24"/>
                <w:szCs w:val="24"/>
                <w:lang w:val="en-US" w:eastAsia="zh-CN"/>
              </w:rPr>
            </w:pPr>
            <w:r>
              <w:rPr>
                <w:rFonts w:hint="eastAsia"/>
                <w:b/>
                <w:bCs/>
                <w:sz w:val="24"/>
                <w:szCs w:val="24"/>
                <w:lang w:val="en-US" w:eastAsia="zh-CN"/>
              </w:rPr>
              <w:t>专 业</w:t>
            </w:r>
          </w:p>
        </w:tc>
        <w:tc>
          <w:tcPr>
            <w:tcW w:w="1650" w:type="dxa"/>
            <w:shd w:val="clear"/>
            <w:vAlign w:val="center"/>
          </w:tcPr>
          <w:p w14:paraId="1F0B10A5">
            <w:pPr>
              <w:jc w:val="center"/>
              <w:rPr>
                <w:rFonts w:hint="eastAsia" w:ascii="Times New Roman" w:hAnsi="Times New Roman" w:eastAsia="宋体" w:cs="Times New Roman"/>
                <w:b/>
                <w:bCs/>
                <w:kern w:val="2"/>
                <w:sz w:val="24"/>
                <w:szCs w:val="24"/>
                <w:lang w:val="en-US" w:eastAsia="zh-CN" w:bidi="ar-SA"/>
              </w:rPr>
            </w:pPr>
            <w:r>
              <w:rPr>
                <w:rFonts w:hint="eastAsia"/>
                <w:b/>
                <w:bCs/>
                <w:sz w:val="24"/>
                <w:szCs w:val="24"/>
              </w:rPr>
              <w:t>学 号</w:t>
            </w:r>
          </w:p>
        </w:tc>
        <w:tc>
          <w:tcPr>
            <w:tcW w:w="1215" w:type="dxa"/>
            <w:shd w:val="clear"/>
            <w:vAlign w:val="center"/>
          </w:tcPr>
          <w:p w14:paraId="3A01E742">
            <w:pPr>
              <w:jc w:val="center"/>
              <w:rPr>
                <w:rFonts w:hint="eastAsia" w:ascii="Times New Roman" w:hAnsi="Times New Roman" w:eastAsia="宋体" w:cs="Times New Roman"/>
                <w:b/>
                <w:bCs/>
                <w:kern w:val="2"/>
                <w:sz w:val="24"/>
                <w:szCs w:val="24"/>
                <w:lang w:val="en-US" w:eastAsia="zh-CN" w:bidi="ar-SA"/>
              </w:rPr>
            </w:pPr>
            <w:r>
              <w:rPr>
                <w:rFonts w:hint="eastAsia"/>
                <w:b/>
                <w:bCs/>
                <w:sz w:val="24"/>
                <w:szCs w:val="24"/>
              </w:rPr>
              <w:t>姓</w:t>
            </w:r>
            <w:r>
              <w:rPr>
                <w:rFonts w:hint="eastAsia"/>
                <w:b/>
                <w:bCs/>
                <w:sz w:val="24"/>
                <w:szCs w:val="24"/>
                <w:lang w:val="en-US" w:eastAsia="zh-CN"/>
              </w:rPr>
              <w:t xml:space="preserve"> </w:t>
            </w:r>
            <w:r>
              <w:rPr>
                <w:rFonts w:hint="eastAsia"/>
                <w:b/>
                <w:bCs/>
                <w:sz w:val="24"/>
                <w:szCs w:val="24"/>
              </w:rPr>
              <w:t>名</w:t>
            </w:r>
          </w:p>
        </w:tc>
        <w:tc>
          <w:tcPr>
            <w:tcW w:w="7110" w:type="dxa"/>
            <w:shd w:val="clear"/>
            <w:vAlign w:val="center"/>
          </w:tcPr>
          <w:p w14:paraId="72BEB9C8">
            <w:pPr>
              <w:jc w:val="center"/>
              <w:rPr>
                <w:rFonts w:hint="eastAsia" w:ascii="Times New Roman" w:hAnsi="Times New Roman" w:eastAsia="宋体" w:cs="Times New Roman"/>
                <w:b/>
                <w:bCs/>
                <w:kern w:val="2"/>
                <w:sz w:val="24"/>
                <w:szCs w:val="24"/>
                <w:lang w:val="en-US" w:eastAsia="zh-CN" w:bidi="ar-SA"/>
              </w:rPr>
            </w:pPr>
            <w:r>
              <w:rPr>
                <w:rFonts w:hint="eastAsia"/>
                <w:b/>
                <w:bCs/>
                <w:sz w:val="24"/>
                <w:szCs w:val="24"/>
              </w:rPr>
              <w:t>题       目</w:t>
            </w:r>
          </w:p>
        </w:tc>
        <w:tc>
          <w:tcPr>
            <w:tcW w:w="1290" w:type="dxa"/>
            <w:shd w:val="clear"/>
            <w:vAlign w:val="center"/>
          </w:tcPr>
          <w:p w14:paraId="4A3B638B">
            <w:pPr>
              <w:jc w:val="center"/>
              <w:rPr>
                <w:rFonts w:hint="eastAsia" w:ascii="Times New Roman" w:hAnsi="Times New Roman" w:eastAsia="宋体" w:cs="Times New Roman"/>
                <w:b/>
                <w:bCs/>
                <w:kern w:val="2"/>
                <w:sz w:val="24"/>
                <w:szCs w:val="24"/>
                <w:lang w:val="en-US" w:eastAsia="zh-CN" w:bidi="ar-SA"/>
              </w:rPr>
            </w:pPr>
            <w:r>
              <w:rPr>
                <w:rFonts w:hint="eastAsia"/>
                <w:b/>
                <w:bCs/>
                <w:sz w:val="24"/>
                <w:szCs w:val="24"/>
              </w:rPr>
              <w:t>指导教师</w:t>
            </w:r>
          </w:p>
        </w:tc>
        <w:tc>
          <w:tcPr>
            <w:tcW w:w="870" w:type="dxa"/>
            <w:shd w:val="clear"/>
            <w:vAlign w:val="center"/>
          </w:tcPr>
          <w:p w14:paraId="48B70B78">
            <w:pPr>
              <w:jc w:val="center"/>
              <w:rPr>
                <w:rFonts w:hint="eastAsia" w:ascii="Times New Roman" w:hAnsi="Times New Roman" w:eastAsia="宋体" w:cs="Times New Roman"/>
                <w:b/>
                <w:bCs/>
                <w:kern w:val="2"/>
                <w:sz w:val="24"/>
                <w:szCs w:val="24"/>
                <w:lang w:val="en-US" w:eastAsia="zh-CN" w:bidi="ar-SA"/>
              </w:rPr>
            </w:pPr>
            <w:r>
              <w:rPr>
                <w:rFonts w:hint="eastAsia"/>
                <w:b/>
                <w:bCs/>
                <w:sz w:val="24"/>
                <w:szCs w:val="24"/>
              </w:rPr>
              <w:t>成</w:t>
            </w:r>
            <w:bookmarkStart w:id="0" w:name="_GoBack"/>
            <w:bookmarkEnd w:id="0"/>
            <w:r>
              <w:rPr>
                <w:rFonts w:hint="eastAsia"/>
                <w:b/>
                <w:bCs/>
                <w:sz w:val="24"/>
                <w:szCs w:val="24"/>
              </w:rPr>
              <w:t>绩</w:t>
            </w:r>
          </w:p>
        </w:tc>
      </w:tr>
      <w:tr w14:paraId="12C6C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854" w:type="dxa"/>
            <w:vAlign w:val="center"/>
          </w:tcPr>
          <w:p w14:paraId="2BB593D6">
            <w:pPr>
              <w:spacing w:line="360" w:lineRule="auto"/>
              <w:jc w:val="center"/>
              <w:rPr>
                <w:rFonts w:hint="eastAsia" w:eastAsia="宋体"/>
                <w:sz w:val="22"/>
                <w:szCs w:val="22"/>
                <w:lang w:val="en-US" w:eastAsia="zh-CN"/>
              </w:rPr>
            </w:pPr>
            <w:r>
              <w:rPr>
                <w:rFonts w:hint="eastAsia"/>
                <w:sz w:val="22"/>
                <w:szCs w:val="22"/>
                <w:lang w:val="en-US" w:eastAsia="zh-CN"/>
              </w:rPr>
              <w:t>1</w:t>
            </w:r>
          </w:p>
        </w:tc>
        <w:tc>
          <w:tcPr>
            <w:tcW w:w="1635" w:type="dxa"/>
            <w:vAlign w:val="center"/>
          </w:tcPr>
          <w:p w14:paraId="35E47253">
            <w:pPr>
              <w:keepNext w:val="0"/>
              <w:keepLines w:val="0"/>
              <w:widowControl/>
              <w:suppressLineNumbers w:val="0"/>
              <w:spacing w:line="360" w:lineRule="auto"/>
              <w:jc w:val="center"/>
              <w:textAlignment w:val="top"/>
              <w:rPr>
                <w:rFonts w:hint="default" w:eastAsia="宋体"/>
                <w:sz w:val="22"/>
                <w:szCs w:val="22"/>
                <w:lang w:val="en-US" w:eastAsia="zh-CN"/>
              </w:rPr>
            </w:pPr>
            <w:r>
              <w:rPr>
                <w:rFonts w:hint="eastAsia"/>
                <w:sz w:val="22"/>
                <w:szCs w:val="22"/>
                <w:lang w:val="en-US" w:eastAsia="zh-CN"/>
              </w:rPr>
              <w:t>应用心理学</w:t>
            </w:r>
          </w:p>
        </w:tc>
        <w:tc>
          <w:tcPr>
            <w:tcW w:w="1650" w:type="dxa"/>
            <w:shd w:val="clear"/>
            <w:vAlign w:val="center"/>
          </w:tcPr>
          <w:p w14:paraId="6D9490DE">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2022105010209</w:t>
            </w:r>
          </w:p>
        </w:tc>
        <w:tc>
          <w:tcPr>
            <w:tcW w:w="1215" w:type="dxa"/>
            <w:shd w:val="clear"/>
            <w:vAlign w:val="center"/>
          </w:tcPr>
          <w:p w14:paraId="3CA6BCBB">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张娅琪</w:t>
            </w:r>
          </w:p>
        </w:tc>
        <w:tc>
          <w:tcPr>
            <w:tcW w:w="7110" w:type="dxa"/>
            <w:shd w:val="clear"/>
            <w:vAlign w:val="center"/>
          </w:tcPr>
          <w:p w14:paraId="6F8B627D">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网络成瘾对视觉工作记忆回溯线索效应的影响</w:t>
            </w:r>
          </w:p>
        </w:tc>
        <w:tc>
          <w:tcPr>
            <w:tcW w:w="1290" w:type="dxa"/>
            <w:shd w:val="clear"/>
            <w:vAlign w:val="center"/>
          </w:tcPr>
          <w:p w14:paraId="526930DF">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刘超</w:t>
            </w:r>
          </w:p>
        </w:tc>
        <w:tc>
          <w:tcPr>
            <w:tcW w:w="870" w:type="dxa"/>
            <w:shd w:val="clear"/>
            <w:vAlign w:val="center"/>
          </w:tcPr>
          <w:p w14:paraId="386CC01B">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96.30</w:t>
            </w:r>
          </w:p>
        </w:tc>
      </w:tr>
      <w:tr w14:paraId="31917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FB158BB">
            <w:pPr>
              <w:spacing w:line="360" w:lineRule="auto"/>
              <w:jc w:val="center"/>
              <w:rPr>
                <w:rFonts w:hint="eastAsia" w:eastAsia="宋体"/>
                <w:sz w:val="22"/>
                <w:szCs w:val="22"/>
                <w:lang w:val="en-US" w:eastAsia="zh-CN"/>
              </w:rPr>
            </w:pPr>
            <w:r>
              <w:rPr>
                <w:rFonts w:hint="eastAsia"/>
                <w:sz w:val="22"/>
                <w:szCs w:val="22"/>
                <w:lang w:val="en-US" w:eastAsia="zh-CN"/>
              </w:rPr>
              <w:t>2</w:t>
            </w:r>
          </w:p>
        </w:tc>
        <w:tc>
          <w:tcPr>
            <w:tcW w:w="1635" w:type="dxa"/>
            <w:vAlign w:val="center"/>
          </w:tcPr>
          <w:p w14:paraId="07D51E92">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4A54A5C8">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2022105010129</w:t>
            </w:r>
          </w:p>
        </w:tc>
        <w:tc>
          <w:tcPr>
            <w:tcW w:w="1215" w:type="dxa"/>
            <w:shd w:val="clear"/>
            <w:vAlign w:val="center"/>
          </w:tcPr>
          <w:p w14:paraId="7D77E9E3">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黄梦苒</w:t>
            </w:r>
          </w:p>
        </w:tc>
        <w:tc>
          <w:tcPr>
            <w:tcW w:w="7110" w:type="dxa"/>
            <w:shd w:val="clear"/>
            <w:vAlign w:val="center"/>
          </w:tcPr>
          <w:p w14:paraId="742D3620">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大学生共情对网络利他行为的影响：道德判断的中介作用</w:t>
            </w:r>
          </w:p>
        </w:tc>
        <w:tc>
          <w:tcPr>
            <w:tcW w:w="1290" w:type="dxa"/>
            <w:shd w:val="clear"/>
            <w:vAlign w:val="center"/>
          </w:tcPr>
          <w:p w14:paraId="12E22226">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马璐</w:t>
            </w:r>
          </w:p>
        </w:tc>
        <w:tc>
          <w:tcPr>
            <w:tcW w:w="870" w:type="dxa"/>
            <w:shd w:val="clear"/>
            <w:vAlign w:val="center"/>
          </w:tcPr>
          <w:p w14:paraId="4DE3A42C">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95.70</w:t>
            </w:r>
          </w:p>
        </w:tc>
      </w:tr>
      <w:tr w14:paraId="6725E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9EB85C7">
            <w:pPr>
              <w:spacing w:line="360" w:lineRule="auto"/>
              <w:jc w:val="center"/>
              <w:rPr>
                <w:rFonts w:hint="eastAsia" w:eastAsia="宋体"/>
                <w:sz w:val="22"/>
                <w:szCs w:val="22"/>
                <w:lang w:val="en-US" w:eastAsia="zh-CN"/>
              </w:rPr>
            </w:pPr>
            <w:r>
              <w:rPr>
                <w:rFonts w:hint="eastAsia"/>
                <w:sz w:val="22"/>
                <w:szCs w:val="22"/>
                <w:lang w:val="en-US" w:eastAsia="zh-CN"/>
              </w:rPr>
              <w:t>3</w:t>
            </w:r>
          </w:p>
        </w:tc>
        <w:tc>
          <w:tcPr>
            <w:tcW w:w="1635" w:type="dxa"/>
            <w:vAlign w:val="center"/>
          </w:tcPr>
          <w:p w14:paraId="4C605E40">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68C8FA60">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2022105010233</w:t>
            </w:r>
          </w:p>
        </w:tc>
        <w:tc>
          <w:tcPr>
            <w:tcW w:w="1215" w:type="dxa"/>
            <w:shd w:val="clear"/>
            <w:vAlign w:val="center"/>
          </w:tcPr>
          <w:p w14:paraId="4ADE6AAC">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黄子媛</w:t>
            </w:r>
          </w:p>
        </w:tc>
        <w:tc>
          <w:tcPr>
            <w:tcW w:w="7110" w:type="dxa"/>
            <w:shd w:val="clear"/>
            <w:vAlign w:val="center"/>
          </w:tcPr>
          <w:p w14:paraId="10D3BBF8">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大学生人际信任和孤独感的关系：拒绝敏感性的中介作用</w:t>
            </w:r>
          </w:p>
        </w:tc>
        <w:tc>
          <w:tcPr>
            <w:tcW w:w="1290" w:type="dxa"/>
            <w:shd w:val="clear"/>
            <w:vAlign w:val="center"/>
          </w:tcPr>
          <w:p w14:paraId="7ED7BD42">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马璐</w:t>
            </w:r>
          </w:p>
        </w:tc>
        <w:tc>
          <w:tcPr>
            <w:tcW w:w="870" w:type="dxa"/>
            <w:shd w:val="clear"/>
            <w:vAlign w:val="center"/>
          </w:tcPr>
          <w:p w14:paraId="4DADFBAA">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95.30</w:t>
            </w:r>
          </w:p>
        </w:tc>
      </w:tr>
      <w:tr w14:paraId="57A05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3C779333">
            <w:pPr>
              <w:spacing w:line="360" w:lineRule="auto"/>
              <w:jc w:val="center"/>
              <w:rPr>
                <w:rFonts w:hint="eastAsia" w:eastAsia="宋体"/>
                <w:sz w:val="22"/>
                <w:szCs w:val="22"/>
                <w:lang w:val="en-US" w:eastAsia="zh-CN"/>
              </w:rPr>
            </w:pPr>
            <w:r>
              <w:rPr>
                <w:rFonts w:hint="eastAsia"/>
                <w:sz w:val="22"/>
                <w:szCs w:val="22"/>
                <w:lang w:val="en-US" w:eastAsia="zh-CN"/>
              </w:rPr>
              <w:t>4</w:t>
            </w:r>
          </w:p>
        </w:tc>
        <w:tc>
          <w:tcPr>
            <w:tcW w:w="1635" w:type="dxa"/>
            <w:vAlign w:val="center"/>
          </w:tcPr>
          <w:p w14:paraId="6F6B8D0B">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10BAB826">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2022105010117</w:t>
            </w:r>
          </w:p>
        </w:tc>
        <w:tc>
          <w:tcPr>
            <w:tcW w:w="1215" w:type="dxa"/>
            <w:shd w:val="clear"/>
            <w:vAlign w:val="center"/>
          </w:tcPr>
          <w:p w14:paraId="34123689">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付子轩</w:t>
            </w:r>
          </w:p>
        </w:tc>
        <w:tc>
          <w:tcPr>
            <w:tcW w:w="7110" w:type="dxa"/>
            <w:shd w:val="clear"/>
            <w:vAlign w:val="center"/>
          </w:tcPr>
          <w:p w14:paraId="0657F5E2">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共情对大学生网络欺负行为的影响：宽恕的中介作用</w:t>
            </w:r>
          </w:p>
        </w:tc>
        <w:tc>
          <w:tcPr>
            <w:tcW w:w="1290" w:type="dxa"/>
            <w:shd w:val="clear"/>
            <w:vAlign w:val="center"/>
          </w:tcPr>
          <w:p w14:paraId="11480C5D">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胥子健</w:t>
            </w:r>
          </w:p>
        </w:tc>
        <w:tc>
          <w:tcPr>
            <w:tcW w:w="870" w:type="dxa"/>
            <w:shd w:val="clear"/>
            <w:vAlign w:val="center"/>
          </w:tcPr>
          <w:p w14:paraId="756D73E3">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93.94</w:t>
            </w:r>
          </w:p>
        </w:tc>
      </w:tr>
      <w:tr w14:paraId="43112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6AA90AC">
            <w:pPr>
              <w:spacing w:line="360" w:lineRule="auto"/>
              <w:jc w:val="center"/>
              <w:rPr>
                <w:rFonts w:hint="eastAsia" w:eastAsia="宋体"/>
                <w:sz w:val="22"/>
                <w:szCs w:val="22"/>
                <w:lang w:val="en-US" w:eastAsia="zh-CN"/>
              </w:rPr>
            </w:pPr>
            <w:r>
              <w:rPr>
                <w:rFonts w:hint="eastAsia"/>
                <w:sz w:val="22"/>
                <w:szCs w:val="22"/>
                <w:lang w:val="en-US" w:eastAsia="zh-CN"/>
              </w:rPr>
              <w:t>5</w:t>
            </w:r>
          </w:p>
        </w:tc>
        <w:tc>
          <w:tcPr>
            <w:tcW w:w="1635" w:type="dxa"/>
            <w:vAlign w:val="center"/>
          </w:tcPr>
          <w:p w14:paraId="15A98FC0">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2DEA56F2">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2022105010101</w:t>
            </w:r>
          </w:p>
        </w:tc>
        <w:tc>
          <w:tcPr>
            <w:tcW w:w="1215" w:type="dxa"/>
            <w:shd w:val="clear"/>
            <w:vAlign w:val="center"/>
          </w:tcPr>
          <w:p w14:paraId="4B3FCFA5">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安昫</w:t>
            </w:r>
          </w:p>
        </w:tc>
        <w:tc>
          <w:tcPr>
            <w:tcW w:w="7110" w:type="dxa"/>
            <w:shd w:val="clear"/>
            <w:vAlign w:val="center"/>
          </w:tcPr>
          <w:p w14:paraId="3114E8AA">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大学生压力感知、心理灵活性与生活质量的关系研究</w:t>
            </w:r>
          </w:p>
        </w:tc>
        <w:tc>
          <w:tcPr>
            <w:tcW w:w="1290" w:type="dxa"/>
            <w:shd w:val="clear"/>
            <w:vAlign w:val="center"/>
          </w:tcPr>
          <w:p w14:paraId="50981A18">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何雪娟</w:t>
            </w:r>
          </w:p>
        </w:tc>
        <w:tc>
          <w:tcPr>
            <w:tcW w:w="870" w:type="dxa"/>
            <w:shd w:val="clear"/>
            <w:vAlign w:val="center"/>
          </w:tcPr>
          <w:p w14:paraId="7024B2F5">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93.93</w:t>
            </w:r>
          </w:p>
        </w:tc>
      </w:tr>
      <w:tr w14:paraId="37FBF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6A16674">
            <w:pPr>
              <w:spacing w:line="360" w:lineRule="auto"/>
              <w:jc w:val="center"/>
              <w:rPr>
                <w:rFonts w:hint="default"/>
                <w:sz w:val="22"/>
                <w:szCs w:val="22"/>
                <w:lang w:val="en-US" w:eastAsia="zh-CN"/>
              </w:rPr>
            </w:pPr>
            <w:r>
              <w:rPr>
                <w:rFonts w:hint="eastAsia"/>
                <w:sz w:val="22"/>
                <w:szCs w:val="22"/>
                <w:lang w:val="en-US" w:eastAsia="zh-CN"/>
              </w:rPr>
              <w:t>6</w:t>
            </w:r>
          </w:p>
        </w:tc>
        <w:tc>
          <w:tcPr>
            <w:tcW w:w="1635" w:type="dxa"/>
            <w:vAlign w:val="center"/>
          </w:tcPr>
          <w:p w14:paraId="457ADC5C">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45BC7AD3">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2022105010220</w:t>
            </w:r>
          </w:p>
        </w:tc>
        <w:tc>
          <w:tcPr>
            <w:tcW w:w="1215" w:type="dxa"/>
            <w:shd w:val="clear"/>
            <w:vAlign w:val="center"/>
          </w:tcPr>
          <w:p w14:paraId="5CB2660D">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纪子萱</w:t>
            </w:r>
          </w:p>
        </w:tc>
        <w:tc>
          <w:tcPr>
            <w:tcW w:w="7110" w:type="dxa"/>
            <w:shd w:val="clear"/>
            <w:vAlign w:val="center"/>
          </w:tcPr>
          <w:p w14:paraId="14563986">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领悟社会支持对大学生生活满意度的影响：心理韧性的中介作用</w:t>
            </w:r>
          </w:p>
        </w:tc>
        <w:tc>
          <w:tcPr>
            <w:tcW w:w="1290" w:type="dxa"/>
            <w:shd w:val="clear"/>
            <w:vAlign w:val="center"/>
          </w:tcPr>
          <w:p w14:paraId="3A08A3D7">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王心蕊</w:t>
            </w:r>
          </w:p>
        </w:tc>
        <w:tc>
          <w:tcPr>
            <w:tcW w:w="870" w:type="dxa"/>
            <w:shd w:val="clear"/>
            <w:vAlign w:val="center"/>
          </w:tcPr>
          <w:p w14:paraId="1B9F8196">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92.87</w:t>
            </w:r>
          </w:p>
        </w:tc>
      </w:tr>
      <w:tr w14:paraId="74D7F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004EAB8">
            <w:pPr>
              <w:spacing w:line="360" w:lineRule="auto"/>
              <w:jc w:val="center"/>
              <w:rPr>
                <w:rFonts w:hint="default"/>
                <w:sz w:val="22"/>
                <w:szCs w:val="22"/>
                <w:lang w:val="en-US" w:eastAsia="zh-CN"/>
              </w:rPr>
            </w:pPr>
            <w:r>
              <w:rPr>
                <w:rFonts w:hint="eastAsia"/>
                <w:sz w:val="22"/>
                <w:szCs w:val="22"/>
                <w:lang w:val="en-US" w:eastAsia="zh-CN"/>
              </w:rPr>
              <w:t>7</w:t>
            </w:r>
          </w:p>
        </w:tc>
        <w:tc>
          <w:tcPr>
            <w:tcW w:w="1635" w:type="dxa"/>
            <w:vAlign w:val="center"/>
          </w:tcPr>
          <w:p w14:paraId="6D12C544">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61ED3CF3">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2022105010123</w:t>
            </w:r>
          </w:p>
        </w:tc>
        <w:tc>
          <w:tcPr>
            <w:tcW w:w="1215" w:type="dxa"/>
            <w:shd w:val="clear"/>
            <w:vAlign w:val="center"/>
          </w:tcPr>
          <w:p w14:paraId="6A97B5C0">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乔巍</w:t>
            </w:r>
          </w:p>
        </w:tc>
        <w:tc>
          <w:tcPr>
            <w:tcW w:w="7110" w:type="dxa"/>
            <w:shd w:val="clear"/>
            <w:vAlign w:val="center"/>
          </w:tcPr>
          <w:p w14:paraId="386F0C2D">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自尊与大学生抑郁的关系：负面评价恐惧的中介作用</w:t>
            </w:r>
          </w:p>
        </w:tc>
        <w:tc>
          <w:tcPr>
            <w:tcW w:w="1290" w:type="dxa"/>
            <w:shd w:val="clear"/>
            <w:vAlign w:val="center"/>
          </w:tcPr>
          <w:p w14:paraId="7EFC5D4B">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u w:val="none"/>
                <w:lang w:val="en-US" w:eastAsia="zh-CN" w:bidi="ar"/>
              </w:rPr>
              <w:t>胥子健</w:t>
            </w:r>
          </w:p>
        </w:tc>
        <w:tc>
          <w:tcPr>
            <w:tcW w:w="870" w:type="dxa"/>
            <w:shd w:val="clear"/>
            <w:vAlign w:val="center"/>
          </w:tcPr>
          <w:p w14:paraId="62B73CE2">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92.67</w:t>
            </w:r>
          </w:p>
        </w:tc>
      </w:tr>
      <w:tr w14:paraId="04C5C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A6B01D8">
            <w:pPr>
              <w:spacing w:line="360" w:lineRule="auto"/>
              <w:jc w:val="center"/>
              <w:rPr>
                <w:rFonts w:hint="default"/>
                <w:sz w:val="22"/>
                <w:szCs w:val="22"/>
                <w:lang w:val="en-US" w:eastAsia="zh-CN"/>
              </w:rPr>
            </w:pPr>
            <w:r>
              <w:rPr>
                <w:rFonts w:hint="eastAsia"/>
                <w:sz w:val="22"/>
                <w:szCs w:val="22"/>
                <w:lang w:val="en-US" w:eastAsia="zh-CN"/>
              </w:rPr>
              <w:t>8</w:t>
            </w:r>
          </w:p>
        </w:tc>
        <w:tc>
          <w:tcPr>
            <w:tcW w:w="1635" w:type="dxa"/>
            <w:vAlign w:val="center"/>
          </w:tcPr>
          <w:p w14:paraId="159A50F5">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22E610BC">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2022105010218</w:t>
            </w:r>
          </w:p>
        </w:tc>
        <w:tc>
          <w:tcPr>
            <w:tcW w:w="1215" w:type="dxa"/>
            <w:shd w:val="clear"/>
            <w:vAlign w:val="center"/>
          </w:tcPr>
          <w:p w14:paraId="2599F63F">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张如玉</w:t>
            </w:r>
          </w:p>
        </w:tc>
        <w:tc>
          <w:tcPr>
            <w:tcW w:w="7110" w:type="dxa"/>
            <w:shd w:val="clear"/>
            <w:vAlign w:val="center"/>
          </w:tcPr>
          <w:p w14:paraId="3C3E5A83">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大学生主动性人格、成就动机和学习投入的关系研究</w:t>
            </w:r>
          </w:p>
        </w:tc>
        <w:tc>
          <w:tcPr>
            <w:tcW w:w="1290" w:type="dxa"/>
            <w:shd w:val="clear"/>
            <w:vAlign w:val="center"/>
          </w:tcPr>
          <w:p w14:paraId="494E4B89">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陶佳雨</w:t>
            </w:r>
          </w:p>
        </w:tc>
        <w:tc>
          <w:tcPr>
            <w:tcW w:w="870" w:type="dxa"/>
            <w:shd w:val="clear"/>
            <w:vAlign w:val="center"/>
          </w:tcPr>
          <w:p w14:paraId="4476321C">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92.60</w:t>
            </w:r>
          </w:p>
        </w:tc>
      </w:tr>
      <w:tr w14:paraId="3E8C9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067D7E5">
            <w:pPr>
              <w:spacing w:line="360" w:lineRule="auto"/>
              <w:jc w:val="center"/>
              <w:rPr>
                <w:rFonts w:hint="default"/>
                <w:sz w:val="22"/>
                <w:szCs w:val="22"/>
                <w:lang w:val="en-US" w:eastAsia="zh-CN"/>
              </w:rPr>
            </w:pPr>
            <w:r>
              <w:rPr>
                <w:rFonts w:hint="eastAsia"/>
                <w:sz w:val="22"/>
                <w:szCs w:val="22"/>
                <w:lang w:val="en-US" w:eastAsia="zh-CN"/>
              </w:rPr>
              <w:t>9</w:t>
            </w:r>
          </w:p>
        </w:tc>
        <w:tc>
          <w:tcPr>
            <w:tcW w:w="1635" w:type="dxa"/>
            <w:vAlign w:val="center"/>
          </w:tcPr>
          <w:p w14:paraId="5BD1EE8C">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4F3DBD6A">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2022105010219</w:t>
            </w:r>
          </w:p>
        </w:tc>
        <w:tc>
          <w:tcPr>
            <w:tcW w:w="1215" w:type="dxa"/>
            <w:shd w:val="clear"/>
            <w:vAlign w:val="center"/>
          </w:tcPr>
          <w:p w14:paraId="00FA8576">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朱妍</w:t>
            </w:r>
          </w:p>
        </w:tc>
        <w:tc>
          <w:tcPr>
            <w:tcW w:w="7110" w:type="dxa"/>
            <w:shd w:val="clear"/>
            <w:vAlign w:val="center"/>
          </w:tcPr>
          <w:p w14:paraId="488C75F8">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大学生独处能力对孤独感的影响：正念水平的中介作用</w:t>
            </w:r>
          </w:p>
        </w:tc>
        <w:tc>
          <w:tcPr>
            <w:tcW w:w="1290" w:type="dxa"/>
            <w:shd w:val="clear"/>
            <w:vAlign w:val="center"/>
          </w:tcPr>
          <w:p w14:paraId="1B127BD4">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王子怡</w:t>
            </w:r>
          </w:p>
        </w:tc>
        <w:tc>
          <w:tcPr>
            <w:tcW w:w="870" w:type="dxa"/>
            <w:shd w:val="clear"/>
            <w:vAlign w:val="center"/>
          </w:tcPr>
          <w:p w14:paraId="4234463B">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91.67</w:t>
            </w:r>
          </w:p>
        </w:tc>
      </w:tr>
      <w:tr w14:paraId="3AF5C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EF9562B">
            <w:pPr>
              <w:spacing w:line="360" w:lineRule="auto"/>
              <w:jc w:val="center"/>
              <w:rPr>
                <w:rFonts w:hint="default"/>
                <w:sz w:val="22"/>
                <w:szCs w:val="22"/>
                <w:lang w:val="en-US" w:eastAsia="zh-CN"/>
              </w:rPr>
            </w:pPr>
            <w:r>
              <w:rPr>
                <w:rFonts w:hint="eastAsia"/>
                <w:sz w:val="22"/>
                <w:szCs w:val="22"/>
                <w:lang w:val="en-US" w:eastAsia="zh-CN"/>
              </w:rPr>
              <w:t>10</w:t>
            </w:r>
          </w:p>
        </w:tc>
        <w:tc>
          <w:tcPr>
            <w:tcW w:w="1635" w:type="dxa"/>
            <w:vAlign w:val="center"/>
          </w:tcPr>
          <w:p w14:paraId="760AEAB6">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52DEE292">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2022105010232</w:t>
            </w:r>
          </w:p>
        </w:tc>
        <w:tc>
          <w:tcPr>
            <w:tcW w:w="1215" w:type="dxa"/>
            <w:shd w:val="clear"/>
            <w:vAlign w:val="center"/>
          </w:tcPr>
          <w:p w14:paraId="542ED0A0">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左雨婕</w:t>
            </w:r>
          </w:p>
        </w:tc>
        <w:tc>
          <w:tcPr>
            <w:tcW w:w="7110" w:type="dxa"/>
            <w:shd w:val="clear"/>
            <w:vAlign w:val="center"/>
          </w:tcPr>
          <w:p w14:paraId="411E5136">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大学生宿舍人际关系与睡眠质量的关系，反刍思维和情绪调节困难的链式中介作用</w:t>
            </w:r>
          </w:p>
        </w:tc>
        <w:tc>
          <w:tcPr>
            <w:tcW w:w="1290" w:type="dxa"/>
            <w:shd w:val="clear"/>
            <w:vAlign w:val="center"/>
          </w:tcPr>
          <w:p w14:paraId="588F201D">
            <w:pPr>
              <w:spacing w:line="360" w:lineRule="auto"/>
              <w:jc w:val="center"/>
              <w:rPr>
                <w:rFonts w:hint="eastAsia" w:ascii="Times New Roman" w:hAnsi="Times New Roman" w:eastAsia="宋体" w:cs="Times New Roman"/>
                <w:kern w:val="2"/>
                <w:sz w:val="22"/>
                <w:szCs w:val="22"/>
                <w:lang w:val="en-US" w:eastAsia="zh-CN" w:bidi="ar-SA"/>
              </w:rPr>
            </w:pPr>
            <w:r>
              <w:rPr>
                <w:rFonts w:hint="eastAsia"/>
                <w:sz w:val="22"/>
                <w:szCs w:val="22"/>
              </w:rPr>
              <w:t>刘海虹</w:t>
            </w:r>
          </w:p>
        </w:tc>
        <w:tc>
          <w:tcPr>
            <w:tcW w:w="870" w:type="dxa"/>
            <w:shd w:val="clear"/>
            <w:vAlign w:val="center"/>
          </w:tcPr>
          <w:p w14:paraId="19B6F2CA">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91.53</w:t>
            </w:r>
          </w:p>
        </w:tc>
      </w:tr>
      <w:tr w14:paraId="51A6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6C5F2E3">
            <w:pPr>
              <w:spacing w:line="360" w:lineRule="auto"/>
              <w:jc w:val="center"/>
              <w:rPr>
                <w:rFonts w:hint="default"/>
                <w:sz w:val="22"/>
                <w:szCs w:val="22"/>
                <w:lang w:val="en-US" w:eastAsia="zh-CN"/>
              </w:rPr>
            </w:pPr>
            <w:r>
              <w:rPr>
                <w:rFonts w:hint="eastAsia"/>
                <w:sz w:val="22"/>
                <w:szCs w:val="22"/>
                <w:lang w:val="en-US" w:eastAsia="zh-CN"/>
              </w:rPr>
              <w:t>11</w:t>
            </w:r>
          </w:p>
        </w:tc>
        <w:tc>
          <w:tcPr>
            <w:tcW w:w="1635" w:type="dxa"/>
            <w:vAlign w:val="center"/>
          </w:tcPr>
          <w:p w14:paraId="483DFEF6">
            <w:pPr>
              <w:keepNext w:val="0"/>
              <w:keepLines w:val="0"/>
              <w:widowControl/>
              <w:suppressLineNumbers w:val="0"/>
              <w:spacing w:line="360" w:lineRule="auto"/>
              <w:jc w:val="center"/>
              <w:textAlignment w:val="top"/>
              <w:rPr>
                <w:rFonts w:hint="eastAsia"/>
                <w:sz w:val="22"/>
                <w:szCs w:val="22"/>
              </w:rPr>
            </w:pPr>
            <w:r>
              <w:rPr>
                <w:rFonts w:hint="eastAsia"/>
                <w:sz w:val="22"/>
                <w:szCs w:val="22"/>
                <w:lang w:val="en-US" w:eastAsia="zh-CN"/>
              </w:rPr>
              <w:t>应用心理学</w:t>
            </w:r>
          </w:p>
        </w:tc>
        <w:tc>
          <w:tcPr>
            <w:tcW w:w="1650" w:type="dxa"/>
            <w:shd w:val="clear"/>
            <w:vAlign w:val="center"/>
          </w:tcPr>
          <w:p w14:paraId="5D63B789">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highlight w:val="none"/>
                <w:u w:val="none"/>
                <w:lang w:val="en-US" w:eastAsia="zh-CN" w:bidi="ar"/>
              </w:rPr>
              <w:t>2022105010125</w:t>
            </w:r>
          </w:p>
        </w:tc>
        <w:tc>
          <w:tcPr>
            <w:tcW w:w="1215" w:type="dxa"/>
            <w:shd w:val="clear"/>
            <w:vAlign w:val="center"/>
          </w:tcPr>
          <w:p w14:paraId="41F6E081">
            <w:pPr>
              <w:keepNext w:val="0"/>
              <w:keepLines w:val="0"/>
              <w:widowControl/>
              <w:suppressLineNumbers w:val="0"/>
              <w:spacing w:line="360" w:lineRule="auto"/>
              <w:jc w:val="center"/>
              <w:textAlignment w:val="top"/>
              <w:rPr>
                <w:rFonts w:hint="eastAsia" w:ascii="Times New Roman" w:hAnsi="Times New Roman" w:eastAsia="宋体" w:cs="Times New Roman"/>
                <w:kern w:val="2"/>
                <w:sz w:val="22"/>
                <w:szCs w:val="22"/>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王琦</w:t>
            </w:r>
          </w:p>
        </w:tc>
        <w:tc>
          <w:tcPr>
            <w:tcW w:w="7110" w:type="dxa"/>
            <w:shd w:val="clear"/>
            <w:vAlign w:val="center"/>
          </w:tcPr>
          <w:p w14:paraId="4CEA86B4">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highlight w:val="none"/>
                <w:u w:val="none"/>
                <w:lang w:val="en-US" w:eastAsia="zh-CN" w:bidi="ar"/>
              </w:rPr>
              <w:t>大学生领悟社会支持对学业倦怠的影响：生命意义感的中介作用</w:t>
            </w:r>
          </w:p>
        </w:tc>
        <w:tc>
          <w:tcPr>
            <w:tcW w:w="1290" w:type="dxa"/>
            <w:shd w:val="clear"/>
            <w:vAlign w:val="center"/>
          </w:tcPr>
          <w:p w14:paraId="4CF155B5">
            <w:pPr>
              <w:keepNext w:val="0"/>
              <w:keepLines w:val="0"/>
              <w:widowControl/>
              <w:suppressLineNumbers w:val="0"/>
              <w:spacing w:line="360" w:lineRule="auto"/>
              <w:jc w:val="center"/>
              <w:textAlignment w:val="center"/>
              <w:rPr>
                <w:rFonts w:hint="eastAsia" w:ascii="Times New Roman" w:hAnsi="Times New Roman" w:eastAsia="宋体" w:cs="Times New Roman"/>
                <w:kern w:val="2"/>
                <w:sz w:val="22"/>
                <w:szCs w:val="22"/>
                <w:lang w:val="en-US" w:eastAsia="zh-CN" w:bidi="ar-SA"/>
              </w:rPr>
            </w:pPr>
            <w:r>
              <w:rPr>
                <w:rFonts w:hint="eastAsia" w:ascii="Times New Roman" w:hAnsi="Times New Roman" w:eastAsia="宋体" w:cs="宋体"/>
                <w:i w:val="0"/>
                <w:iCs w:val="0"/>
                <w:color w:val="000000"/>
                <w:kern w:val="0"/>
                <w:sz w:val="22"/>
                <w:szCs w:val="22"/>
                <w:highlight w:val="none"/>
                <w:u w:val="none"/>
                <w:lang w:val="en-US" w:eastAsia="zh-CN" w:bidi="ar"/>
              </w:rPr>
              <w:t>李宝芬</w:t>
            </w:r>
          </w:p>
        </w:tc>
        <w:tc>
          <w:tcPr>
            <w:tcW w:w="870" w:type="dxa"/>
            <w:shd w:val="clear"/>
            <w:vAlign w:val="center"/>
          </w:tcPr>
          <w:p w14:paraId="63AC7248">
            <w:pPr>
              <w:keepNext w:val="0"/>
              <w:keepLines w:val="0"/>
              <w:widowControl/>
              <w:suppressLineNumbers w:val="0"/>
              <w:spacing w:line="360" w:lineRule="auto"/>
              <w:jc w:val="center"/>
              <w:textAlignment w:val="top"/>
              <w:rPr>
                <w:rFonts w:hint="default" w:ascii="Times New Roman" w:hAnsi="Times New Roman" w:eastAsia="宋体" w:cs="Times New Roman"/>
                <w:kern w:val="2"/>
                <w:sz w:val="22"/>
                <w:szCs w:val="22"/>
                <w:lang w:val="en-US" w:eastAsia="zh-CN" w:bidi="ar-SA"/>
              </w:rPr>
            </w:pPr>
            <w:r>
              <w:rPr>
                <w:rFonts w:hint="default" w:ascii="Times New Roman" w:hAnsi="Times New Roman" w:eastAsia="宋体" w:cs="Times New Roman"/>
                <w:i w:val="0"/>
                <w:iCs w:val="0"/>
                <w:color w:val="000000"/>
                <w:kern w:val="0"/>
                <w:sz w:val="22"/>
                <w:szCs w:val="22"/>
                <w:highlight w:val="none"/>
                <w:u w:val="none"/>
                <w:lang w:val="en-US" w:eastAsia="zh-CN" w:bidi="ar"/>
              </w:rPr>
              <w:t>91.43</w:t>
            </w:r>
          </w:p>
        </w:tc>
      </w:tr>
      <w:tr w14:paraId="18FD2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70C7712">
            <w:pPr>
              <w:spacing w:line="360" w:lineRule="auto"/>
              <w:jc w:val="center"/>
              <w:rPr>
                <w:rFonts w:hint="default"/>
                <w:sz w:val="22"/>
                <w:szCs w:val="22"/>
                <w:highlight w:val="none"/>
                <w:lang w:val="en-US" w:eastAsia="zh-CN"/>
              </w:rPr>
            </w:pPr>
            <w:r>
              <w:rPr>
                <w:rFonts w:hint="eastAsia"/>
                <w:sz w:val="22"/>
                <w:szCs w:val="22"/>
                <w:highlight w:val="none"/>
                <w:lang w:val="en-US" w:eastAsia="zh-CN"/>
              </w:rPr>
              <w:t>12</w:t>
            </w:r>
          </w:p>
        </w:tc>
        <w:tc>
          <w:tcPr>
            <w:tcW w:w="1635" w:type="dxa"/>
            <w:vAlign w:val="center"/>
          </w:tcPr>
          <w:p w14:paraId="457EEB7F">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sz w:val="22"/>
                <w:szCs w:val="22"/>
                <w:lang w:val="en-US" w:eastAsia="zh-CN"/>
              </w:rPr>
              <w:t>应用心理学</w:t>
            </w:r>
          </w:p>
        </w:tc>
        <w:tc>
          <w:tcPr>
            <w:tcW w:w="1650" w:type="dxa"/>
            <w:shd w:val="clear"/>
            <w:vAlign w:val="center"/>
          </w:tcPr>
          <w:p w14:paraId="683D7449">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2022105010237</w:t>
            </w:r>
          </w:p>
        </w:tc>
        <w:tc>
          <w:tcPr>
            <w:tcW w:w="1215" w:type="dxa"/>
            <w:shd w:val="clear"/>
            <w:vAlign w:val="center"/>
          </w:tcPr>
          <w:p w14:paraId="48771AC0">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韩姗姗</w:t>
            </w:r>
          </w:p>
        </w:tc>
        <w:tc>
          <w:tcPr>
            <w:tcW w:w="7110" w:type="dxa"/>
            <w:shd w:val="clear"/>
            <w:vAlign w:val="center"/>
          </w:tcPr>
          <w:p w14:paraId="0FFBD801">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大学生领悟社会支持能力、反刍思维和学业拖延的关系研究</w:t>
            </w:r>
          </w:p>
        </w:tc>
        <w:tc>
          <w:tcPr>
            <w:tcW w:w="1290" w:type="dxa"/>
            <w:shd w:val="clear"/>
            <w:vAlign w:val="center"/>
          </w:tcPr>
          <w:p w14:paraId="4C4B3F81">
            <w:pPr>
              <w:keepNext w:val="0"/>
              <w:keepLines w:val="0"/>
              <w:widowControl/>
              <w:suppressLineNumbers w:val="0"/>
              <w:spacing w:line="360" w:lineRule="auto"/>
              <w:jc w:val="center"/>
              <w:textAlignment w:val="top"/>
              <w:rPr>
                <w:rFonts w:hint="default"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陶佳雨</w:t>
            </w:r>
          </w:p>
        </w:tc>
        <w:tc>
          <w:tcPr>
            <w:tcW w:w="870" w:type="dxa"/>
            <w:shd w:val="clear"/>
            <w:vAlign w:val="center"/>
          </w:tcPr>
          <w:p w14:paraId="47551223">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91.43</w:t>
            </w:r>
          </w:p>
        </w:tc>
      </w:tr>
      <w:tr w14:paraId="5BDCD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62B6581">
            <w:pPr>
              <w:spacing w:line="360" w:lineRule="auto"/>
              <w:jc w:val="center"/>
              <w:rPr>
                <w:rFonts w:hint="default"/>
                <w:sz w:val="22"/>
                <w:szCs w:val="22"/>
                <w:highlight w:val="none"/>
                <w:lang w:val="en-US" w:eastAsia="zh-CN"/>
              </w:rPr>
            </w:pPr>
            <w:r>
              <w:rPr>
                <w:rFonts w:hint="eastAsia"/>
                <w:sz w:val="22"/>
                <w:szCs w:val="22"/>
                <w:highlight w:val="none"/>
                <w:lang w:val="en-US" w:eastAsia="zh-CN"/>
              </w:rPr>
              <w:t>13</w:t>
            </w:r>
          </w:p>
        </w:tc>
        <w:tc>
          <w:tcPr>
            <w:tcW w:w="1635" w:type="dxa"/>
            <w:shd w:val="clear"/>
            <w:vAlign w:val="bottom"/>
          </w:tcPr>
          <w:p w14:paraId="7A7A1C15">
            <w:pPr>
              <w:keepNext w:val="0"/>
              <w:keepLines w:val="0"/>
              <w:widowControl/>
              <w:suppressLineNumbers w:val="0"/>
              <w:spacing w:line="360" w:lineRule="auto"/>
              <w:ind w:left="0" w:leftChars="0"/>
              <w:jc w:val="center"/>
              <w:textAlignment w:val="bottom"/>
              <w:rPr>
                <w:rFonts w:hint="default"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bottom"/>
          </w:tcPr>
          <w:p w14:paraId="04A54CE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2022107110134</w:t>
            </w:r>
          </w:p>
        </w:tc>
        <w:tc>
          <w:tcPr>
            <w:tcW w:w="1215" w:type="dxa"/>
            <w:shd w:val="clear"/>
            <w:vAlign w:val="bottom"/>
          </w:tcPr>
          <w:p w14:paraId="3185495F">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宫真真</w:t>
            </w:r>
          </w:p>
        </w:tc>
        <w:tc>
          <w:tcPr>
            <w:tcW w:w="7110" w:type="dxa"/>
            <w:shd w:val="clear"/>
            <w:vAlign w:val="bottom"/>
          </w:tcPr>
          <w:p w14:paraId="38922EC4">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基于U-Net的肺结节CT图像分割方法研究</w:t>
            </w:r>
          </w:p>
        </w:tc>
        <w:tc>
          <w:tcPr>
            <w:tcW w:w="1290" w:type="dxa"/>
            <w:shd w:val="clear"/>
            <w:vAlign w:val="bottom"/>
          </w:tcPr>
          <w:p w14:paraId="7C0D86E0">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吴艳军</w:t>
            </w:r>
          </w:p>
        </w:tc>
        <w:tc>
          <w:tcPr>
            <w:tcW w:w="870" w:type="dxa"/>
            <w:shd w:val="clear"/>
            <w:vAlign w:val="bottom"/>
          </w:tcPr>
          <w:p w14:paraId="0F7B804B">
            <w:pPr>
              <w:keepNext w:val="0"/>
              <w:keepLines w:val="0"/>
              <w:widowControl/>
              <w:suppressLineNumbers w:val="0"/>
              <w:spacing w:line="360" w:lineRule="auto"/>
              <w:jc w:val="center"/>
              <w:textAlignment w:val="top"/>
              <w:rPr>
                <w:rFonts w:hint="eastAsia" w:ascii="宋体" w:hAnsi="宋体" w:eastAsia="宋体" w:cs="宋体"/>
                <w:b w:val="0"/>
                <w:bCs w:val="0"/>
                <w:kern w:val="2"/>
                <w:sz w:val="22"/>
                <w:szCs w:val="22"/>
                <w:lang w:val="en-US" w:eastAsia="zh-CN" w:bidi="ar-SA"/>
              </w:rPr>
            </w:pPr>
            <w:r>
              <w:rPr>
                <w:rFonts w:hint="eastAsia" w:ascii="Times New Roman" w:hAnsi="Times New Roman" w:eastAsia="宋体" w:cs="Times New Roman"/>
                <w:i w:val="0"/>
                <w:iCs w:val="0"/>
                <w:color w:val="000000"/>
                <w:kern w:val="0"/>
                <w:sz w:val="22"/>
                <w:szCs w:val="22"/>
                <w:highlight w:val="none"/>
                <w:u w:val="none"/>
                <w:lang w:val="en-US" w:eastAsia="zh-CN" w:bidi="ar"/>
              </w:rPr>
              <w:t>92.43</w:t>
            </w:r>
          </w:p>
        </w:tc>
      </w:tr>
      <w:tr w14:paraId="129FE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1FE1C3E">
            <w:pPr>
              <w:spacing w:line="360" w:lineRule="auto"/>
              <w:jc w:val="center"/>
              <w:rPr>
                <w:rFonts w:hint="default"/>
                <w:sz w:val="22"/>
                <w:szCs w:val="22"/>
                <w:highlight w:val="none"/>
                <w:lang w:val="en-US" w:eastAsia="zh-CN"/>
              </w:rPr>
            </w:pPr>
            <w:r>
              <w:rPr>
                <w:rFonts w:hint="eastAsia"/>
                <w:sz w:val="22"/>
                <w:szCs w:val="22"/>
                <w:highlight w:val="none"/>
                <w:lang w:val="en-US" w:eastAsia="zh-CN"/>
              </w:rPr>
              <w:t>14</w:t>
            </w:r>
          </w:p>
        </w:tc>
        <w:tc>
          <w:tcPr>
            <w:tcW w:w="1635" w:type="dxa"/>
            <w:shd w:val="clear"/>
            <w:vAlign w:val="center"/>
          </w:tcPr>
          <w:p w14:paraId="18C58483">
            <w:pPr>
              <w:keepNext w:val="0"/>
              <w:keepLines w:val="0"/>
              <w:widowControl/>
              <w:suppressLineNumbers w:val="0"/>
              <w:spacing w:line="360" w:lineRule="auto"/>
              <w:ind w:left="0" w:leftChars="0"/>
              <w:jc w:val="center"/>
              <w:textAlignment w:val="bottom"/>
              <w:rPr>
                <w:rFonts w:hint="default"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center"/>
          </w:tcPr>
          <w:p w14:paraId="465B1B9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2022107110132</w:t>
            </w:r>
          </w:p>
        </w:tc>
        <w:tc>
          <w:tcPr>
            <w:tcW w:w="1215" w:type="dxa"/>
            <w:shd w:val="clear"/>
            <w:vAlign w:val="center"/>
          </w:tcPr>
          <w:p w14:paraId="7BAAFEAF">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武欣萌</w:t>
            </w:r>
          </w:p>
        </w:tc>
        <w:tc>
          <w:tcPr>
            <w:tcW w:w="7110" w:type="dxa"/>
            <w:shd w:val="clear"/>
            <w:vAlign w:val="bottom"/>
          </w:tcPr>
          <w:p w14:paraId="2E387B39">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过表达miR-486-5p的MSC-Exos治疗小鼠狼疮肾炎及机制研究</w:t>
            </w:r>
          </w:p>
        </w:tc>
        <w:tc>
          <w:tcPr>
            <w:tcW w:w="1290" w:type="dxa"/>
            <w:shd w:val="clear"/>
            <w:vAlign w:val="bottom"/>
          </w:tcPr>
          <w:p w14:paraId="30CE597C">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贝翠琳</w:t>
            </w:r>
          </w:p>
        </w:tc>
        <w:tc>
          <w:tcPr>
            <w:tcW w:w="870" w:type="dxa"/>
            <w:shd w:val="clear"/>
            <w:vAlign w:val="bottom"/>
          </w:tcPr>
          <w:p w14:paraId="570AB886">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89.7</w:t>
            </w:r>
          </w:p>
        </w:tc>
      </w:tr>
      <w:tr w14:paraId="206E0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1E65AA6">
            <w:pPr>
              <w:spacing w:line="360" w:lineRule="auto"/>
              <w:jc w:val="center"/>
              <w:rPr>
                <w:rFonts w:hint="default"/>
                <w:sz w:val="22"/>
                <w:szCs w:val="22"/>
                <w:highlight w:val="none"/>
                <w:lang w:val="en-US" w:eastAsia="zh-CN"/>
              </w:rPr>
            </w:pPr>
            <w:r>
              <w:rPr>
                <w:rFonts w:hint="eastAsia"/>
                <w:sz w:val="22"/>
                <w:szCs w:val="22"/>
                <w:highlight w:val="none"/>
                <w:lang w:val="en-US" w:eastAsia="zh-CN"/>
              </w:rPr>
              <w:t>15</w:t>
            </w:r>
          </w:p>
        </w:tc>
        <w:tc>
          <w:tcPr>
            <w:tcW w:w="1635" w:type="dxa"/>
            <w:shd w:val="clear"/>
            <w:vAlign w:val="center"/>
          </w:tcPr>
          <w:p w14:paraId="5C6A5C7E">
            <w:pPr>
              <w:keepNext w:val="0"/>
              <w:keepLines w:val="0"/>
              <w:widowControl/>
              <w:suppressLineNumbers w:val="0"/>
              <w:spacing w:line="360" w:lineRule="auto"/>
              <w:ind w:left="0" w:leftChars="0"/>
              <w:jc w:val="center"/>
              <w:textAlignment w:val="bottom"/>
              <w:rPr>
                <w:rFonts w:hint="default"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center"/>
          </w:tcPr>
          <w:p w14:paraId="035AA287">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2022107110223</w:t>
            </w:r>
          </w:p>
        </w:tc>
        <w:tc>
          <w:tcPr>
            <w:tcW w:w="1215" w:type="dxa"/>
            <w:shd w:val="clear"/>
            <w:vAlign w:val="center"/>
          </w:tcPr>
          <w:p w14:paraId="05FFDF44">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肖文静</w:t>
            </w:r>
          </w:p>
        </w:tc>
        <w:tc>
          <w:tcPr>
            <w:tcW w:w="7110" w:type="dxa"/>
            <w:shd w:val="clear"/>
            <w:vAlign w:val="bottom"/>
          </w:tcPr>
          <w:p w14:paraId="696BFC65">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基于sEMG-IMU融合的截肢者精细手势识别与假肢手控制研究</w:t>
            </w:r>
          </w:p>
        </w:tc>
        <w:tc>
          <w:tcPr>
            <w:tcW w:w="1290" w:type="dxa"/>
            <w:shd w:val="clear"/>
            <w:vAlign w:val="bottom"/>
          </w:tcPr>
          <w:p w14:paraId="3D484F83">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王莹莹</w:t>
            </w:r>
          </w:p>
        </w:tc>
        <w:tc>
          <w:tcPr>
            <w:tcW w:w="870" w:type="dxa"/>
            <w:shd w:val="clear"/>
            <w:vAlign w:val="bottom"/>
          </w:tcPr>
          <w:p w14:paraId="3756CD72">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89.34</w:t>
            </w:r>
          </w:p>
        </w:tc>
      </w:tr>
      <w:tr w14:paraId="31CBB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E20839F">
            <w:pPr>
              <w:spacing w:line="360" w:lineRule="auto"/>
              <w:jc w:val="center"/>
              <w:rPr>
                <w:rFonts w:hint="default"/>
                <w:sz w:val="22"/>
                <w:szCs w:val="22"/>
                <w:highlight w:val="none"/>
                <w:lang w:val="en-US" w:eastAsia="zh-CN"/>
              </w:rPr>
            </w:pPr>
            <w:r>
              <w:rPr>
                <w:rFonts w:hint="eastAsia"/>
                <w:sz w:val="22"/>
                <w:szCs w:val="22"/>
                <w:highlight w:val="none"/>
                <w:lang w:val="en-US" w:eastAsia="zh-CN"/>
              </w:rPr>
              <w:t>16</w:t>
            </w:r>
          </w:p>
        </w:tc>
        <w:tc>
          <w:tcPr>
            <w:tcW w:w="1635" w:type="dxa"/>
            <w:shd w:val="clear"/>
            <w:vAlign w:val="center"/>
          </w:tcPr>
          <w:p w14:paraId="107CD9E9">
            <w:pPr>
              <w:keepNext w:val="0"/>
              <w:keepLines w:val="0"/>
              <w:widowControl/>
              <w:suppressLineNumbers w:val="0"/>
              <w:spacing w:line="360" w:lineRule="auto"/>
              <w:ind w:left="0" w:leftChars="0"/>
              <w:jc w:val="center"/>
              <w:textAlignment w:val="bottom"/>
              <w:rPr>
                <w:rFonts w:hint="default"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center"/>
          </w:tcPr>
          <w:p w14:paraId="0BDE6F8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2022107110229</w:t>
            </w:r>
          </w:p>
        </w:tc>
        <w:tc>
          <w:tcPr>
            <w:tcW w:w="1215" w:type="dxa"/>
            <w:shd w:val="clear"/>
            <w:vAlign w:val="center"/>
          </w:tcPr>
          <w:p w14:paraId="1140AA1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陈瑜</w:t>
            </w:r>
          </w:p>
        </w:tc>
        <w:tc>
          <w:tcPr>
            <w:tcW w:w="7110" w:type="dxa"/>
            <w:shd w:val="clear"/>
            <w:vAlign w:val="bottom"/>
          </w:tcPr>
          <w:p w14:paraId="23D2CC5B">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基于机器学习和临床特征的心力衰竭患者生存率预测研究</w:t>
            </w:r>
          </w:p>
        </w:tc>
        <w:tc>
          <w:tcPr>
            <w:tcW w:w="1290" w:type="dxa"/>
            <w:shd w:val="clear"/>
            <w:vAlign w:val="bottom"/>
          </w:tcPr>
          <w:p w14:paraId="56D97946">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张小雷</w:t>
            </w:r>
          </w:p>
        </w:tc>
        <w:tc>
          <w:tcPr>
            <w:tcW w:w="870" w:type="dxa"/>
            <w:shd w:val="clear"/>
            <w:vAlign w:val="bottom"/>
          </w:tcPr>
          <w:p w14:paraId="76DE54C1">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89.24</w:t>
            </w:r>
          </w:p>
        </w:tc>
      </w:tr>
      <w:tr w14:paraId="2CBC5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CB239E0">
            <w:pPr>
              <w:spacing w:line="360" w:lineRule="auto"/>
              <w:jc w:val="center"/>
              <w:rPr>
                <w:rFonts w:hint="default"/>
                <w:sz w:val="22"/>
                <w:szCs w:val="22"/>
                <w:highlight w:val="none"/>
                <w:lang w:val="en-US" w:eastAsia="zh-CN"/>
              </w:rPr>
            </w:pPr>
            <w:r>
              <w:rPr>
                <w:rFonts w:hint="eastAsia"/>
                <w:sz w:val="22"/>
                <w:szCs w:val="22"/>
                <w:highlight w:val="none"/>
                <w:lang w:val="en-US" w:eastAsia="zh-CN"/>
              </w:rPr>
              <w:t>17</w:t>
            </w:r>
          </w:p>
        </w:tc>
        <w:tc>
          <w:tcPr>
            <w:tcW w:w="1635" w:type="dxa"/>
            <w:shd w:val="clear"/>
            <w:vAlign w:val="bottom"/>
          </w:tcPr>
          <w:p w14:paraId="73B92D26">
            <w:pPr>
              <w:keepNext w:val="0"/>
              <w:keepLines w:val="0"/>
              <w:widowControl/>
              <w:suppressLineNumbers w:val="0"/>
              <w:spacing w:line="360" w:lineRule="auto"/>
              <w:ind w:left="0" w:leftChars="0"/>
              <w:jc w:val="center"/>
              <w:textAlignment w:val="bottom"/>
              <w:rPr>
                <w:rFonts w:hint="default"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bottom"/>
          </w:tcPr>
          <w:p w14:paraId="6BD90D73">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2022107110240</w:t>
            </w:r>
          </w:p>
        </w:tc>
        <w:tc>
          <w:tcPr>
            <w:tcW w:w="1215" w:type="dxa"/>
            <w:shd w:val="clear"/>
            <w:vAlign w:val="bottom"/>
          </w:tcPr>
          <w:p w14:paraId="78D636E3">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曹艳新</w:t>
            </w:r>
          </w:p>
        </w:tc>
        <w:tc>
          <w:tcPr>
            <w:tcW w:w="7110" w:type="dxa"/>
            <w:shd w:val="clear"/>
            <w:vAlign w:val="bottom"/>
          </w:tcPr>
          <w:p w14:paraId="6E400068">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基于自监督学习的心电分类算法研究</w:t>
            </w:r>
          </w:p>
        </w:tc>
        <w:tc>
          <w:tcPr>
            <w:tcW w:w="1290" w:type="dxa"/>
            <w:shd w:val="clear"/>
            <w:vAlign w:val="bottom"/>
          </w:tcPr>
          <w:p w14:paraId="7DC673E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杜丽莉</w:t>
            </w:r>
          </w:p>
        </w:tc>
        <w:tc>
          <w:tcPr>
            <w:tcW w:w="870" w:type="dxa"/>
            <w:shd w:val="clear"/>
            <w:vAlign w:val="bottom"/>
          </w:tcPr>
          <w:p w14:paraId="17DB4DD3">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87.63</w:t>
            </w:r>
          </w:p>
        </w:tc>
      </w:tr>
      <w:tr w14:paraId="638EF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3E2EDDB0">
            <w:pPr>
              <w:spacing w:line="360" w:lineRule="auto"/>
              <w:jc w:val="center"/>
              <w:rPr>
                <w:rFonts w:hint="default"/>
                <w:sz w:val="22"/>
                <w:szCs w:val="22"/>
                <w:highlight w:val="none"/>
                <w:lang w:val="en-US" w:eastAsia="zh-CN"/>
              </w:rPr>
            </w:pPr>
            <w:r>
              <w:rPr>
                <w:rFonts w:hint="eastAsia"/>
                <w:sz w:val="22"/>
                <w:szCs w:val="22"/>
                <w:highlight w:val="none"/>
                <w:lang w:val="en-US" w:eastAsia="zh-CN"/>
              </w:rPr>
              <w:t>18</w:t>
            </w:r>
          </w:p>
        </w:tc>
        <w:tc>
          <w:tcPr>
            <w:tcW w:w="1635" w:type="dxa"/>
            <w:shd w:val="clear"/>
            <w:vAlign w:val="bottom"/>
          </w:tcPr>
          <w:p w14:paraId="469DF970">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bottom"/>
          </w:tcPr>
          <w:p w14:paraId="6FF7DEB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2021107110220</w:t>
            </w:r>
          </w:p>
        </w:tc>
        <w:tc>
          <w:tcPr>
            <w:tcW w:w="1215" w:type="dxa"/>
            <w:shd w:val="clear"/>
            <w:vAlign w:val="bottom"/>
          </w:tcPr>
          <w:p w14:paraId="68920044">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卢梦卫</w:t>
            </w:r>
          </w:p>
        </w:tc>
        <w:tc>
          <w:tcPr>
            <w:tcW w:w="7110" w:type="dxa"/>
            <w:shd w:val="clear"/>
            <w:vAlign w:val="bottom"/>
          </w:tcPr>
          <w:p w14:paraId="132B8ED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基于EEG的老年认知障碍脑网络分析研究</w:t>
            </w:r>
          </w:p>
        </w:tc>
        <w:tc>
          <w:tcPr>
            <w:tcW w:w="1290" w:type="dxa"/>
            <w:shd w:val="clear"/>
            <w:vAlign w:val="bottom"/>
          </w:tcPr>
          <w:p w14:paraId="2D3A017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董现玲</w:t>
            </w:r>
          </w:p>
        </w:tc>
        <w:tc>
          <w:tcPr>
            <w:tcW w:w="870" w:type="dxa"/>
            <w:shd w:val="clear"/>
            <w:vAlign w:val="bottom"/>
          </w:tcPr>
          <w:p w14:paraId="5F09AB2A">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87.03</w:t>
            </w:r>
          </w:p>
        </w:tc>
      </w:tr>
      <w:tr w14:paraId="1CDAF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59D0F23">
            <w:pPr>
              <w:spacing w:line="360" w:lineRule="auto"/>
              <w:jc w:val="center"/>
              <w:rPr>
                <w:rFonts w:hint="default"/>
                <w:sz w:val="22"/>
                <w:szCs w:val="22"/>
                <w:highlight w:val="none"/>
                <w:lang w:val="en-US" w:eastAsia="zh-CN"/>
              </w:rPr>
            </w:pPr>
            <w:r>
              <w:rPr>
                <w:rFonts w:hint="eastAsia"/>
                <w:sz w:val="22"/>
                <w:szCs w:val="22"/>
                <w:highlight w:val="none"/>
                <w:lang w:val="en-US" w:eastAsia="zh-CN"/>
              </w:rPr>
              <w:t>19</w:t>
            </w:r>
          </w:p>
        </w:tc>
        <w:tc>
          <w:tcPr>
            <w:tcW w:w="1635" w:type="dxa"/>
            <w:shd w:val="clear"/>
            <w:vAlign w:val="bottom"/>
          </w:tcPr>
          <w:p w14:paraId="0EB9FD80">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bottom"/>
          </w:tcPr>
          <w:p w14:paraId="76A3F60F">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2022107110237</w:t>
            </w:r>
          </w:p>
        </w:tc>
        <w:tc>
          <w:tcPr>
            <w:tcW w:w="1215" w:type="dxa"/>
            <w:shd w:val="clear"/>
            <w:vAlign w:val="bottom"/>
          </w:tcPr>
          <w:p w14:paraId="2A9AFE4A">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邵元月</w:t>
            </w:r>
          </w:p>
        </w:tc>
        <w:tc>
          <w:tcPr>
            <w:tcW w:w="7110" w:type="dxa"/>
            <w:shd w:val="clear"/>
            <w:vAlign w:val="bottom"/>
          </w:tcPr>
          <w:p w14:paraId="2B81800F">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基于ResNet18的乳腺癌超声图像良恶性分类研究</w:t>
            </w:r>
          </w:p>
        </w:tc>
        <w:tc>
          <w:tcPr>
            <w:tcW w:w="1290" w:type="dxa"/>
            <w:shd w:val="clear"/>
            <w:vAlign w:val="bottom"/>
          </w:tcPr>
          <w:p w14:paraId="08F731B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张小雷</w:t>
            </w:r>
          </w:p>
        </w:tc>
        <w:tc>
          <w:tcPr>
            <w:tcW w:w="870" w:type="dxa"/>
            <w:shd w:val="clear"/>
            <w:vAlign w:val="bottom"/>
          </w:tcPr>
          <w:p w14:paraId="4FCE90DF">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86.8</w:t>
            </w:r>
          </w:p>
        </w:tc>
      </w:tr>
      <w:tr w14:paraId="5B972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B584CDA">
            <w:pPr>
              <w:spacing w:line="360" w:lineRule="auto"/>
              <w:jc w:val="center"/>
              <w:rPr>
                <w:rFonts w:hint="default"/>
                <w:sz w:val="22"/>
                <w:szCs w:val="22"/>
                <w:highlight w:val="none"/>
                <w:lang w:val="en-US" w:eastAsia="zh-CN"/>
              </w:rPr>
            </w:pPr>
            <w:r>
              <w:rPr>
                <w:rFonts w:hint="eastAsia"/>
                <w:sz w:val="22"/>
                <w:szCs w:val="22"/>
                <w:highlight w:val="none"/>
                <w:lang w:val="en-US" w:eastAsia="zh-CN"/>
              </w:rPr>
              <w:t>20</w:t>
            </w:r>
          </w:p>
        </w:tc>
        <w:tc>
          <w:tcPr>
            <w:tcW w:w="1635" w:type="dxa"/>
            <w:shd w:val="clear"/>
            <w:vAlign w:val="center"/>
          </w:tcPr>
          <w:p w14:paraId="6F69F576">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center"/>
          </w:tcPr>
          <w:p w14:paraId="273A6D64">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2022107110231</w:t>
            </w:r>
          </w:p>
        </w:tc>
        <w:tc>
          <w:tcPr>
            <w:tcW w:w="1215" w:type="dxa"/>
            <w:shd w:val="clear"/>
            <w:vAlign w:val="center"/>
          </w:tcPr>
          <w:p w14:paraId="0F5A89A6">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白自璇</w:t>
            </w:r>
          </w:p>
        </w:tc>
        <w:tc>
          <w:tcPr>
            <w:tcW w:w="7110" w:type="dxa"/>
            <w:shd w:val="clear"/>
            <w:vAlign w:val="bottom"/>
          </w:tcPr>
          <w:p w14:paraId="42D2CBC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手术机器人辅助临床手术的工程化优化与疗效多维度评估研究</w:t>
            </w:r>
          </w:p>
        </w:tc>
        <w:tc>
          <w:tcPr>
            <w:tcW w:w="1290" w:type="dxa"/>
            <w:shd w:val="clear"/>
            <w:vAlign w:val="bottom"/>
          </w:tcPr>
          <w:p w14:paraId="301C230D">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史国超</w:t>
            </w:r>
          </w:p>
        </w:tc>
        <w:tc>
          <w:tcPr>
            <w:tcW w:w="870" w:type="dxa"/>
            <w:shd w:val="clear"/>
            <w:vAlign w:val="bottom"/>
          </w:tcPr>
          <w:p w14:paraId="3B596F3B">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86.07</w:t>
            </w:r>
          </w:p>
        </w:tc>
      </w:tr>
      <w:tr w14:paraId="32C5B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EB35361">
            <w:pPr>
              <w:spacing w:line="360" w:lineRule="auto"/>
              <w:jc w:val="center"/>
              <w:rPr>
                <w:rFonts w:hint="default"/>
                <w:sz w:val="22"/>
                <w:szCs w:val="22"/>
                <w:highlight w:val="none"/>
                <w:lang w:val="en-US" w:eastAsia="zh-CN"/>
              </w:rPr>
            </w:pPr>
            <w:r>
              <w:rPr>
                <w:rFonts w:hint="eastAsia"/>
                <w:sz w:val="22"/>
                <w:szCs w:val="22"/>
                <w:highlight w:val="none"/>
                <w:lang w:val="en-US" w:eastAsia="zh-CN"/>
              </w:rPr>
              <w:t>21</w:t>
            </w:r>
          </w:p>
        </w:tc>
        <w:tc>
          <w:tcPr>
            <w:tcW w:w="1635" w:type="dxa"/>
            <w:shd w:val="clear"/>
            <w:vAlign w:val="bottom"/>
          </w:tcPr>
          <w:p w14:paraId="56B59B7B">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生物医学工程</w:t>
            </w:r>
          </w:p>
        </w:tc>
        <w:tc>
          <w:tcPr>
            <w:tcW w:w="1650" w:type="dxa"/>
            <w:shd w:val="clear"/>
            <w:vAlign w:val="bottom"/>
          </w:tcPr>
          <w:p w14:paraId="583003D6">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2022107110224</w:t>
            </w:r>
          </w:p>
        </w:tc>
        <w:tc>
          <w:tcPr>
            <w:tcW w:w="1215" w:type="dxa"/>
            <w:shd w:val="clear"/>
            <w:vAlign w:val="bottom"/>
          </w:tcPr>
          <w:p w14:paraId="2B6E7E5F">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齐梦丹</w:t>
            </w:r>
          </w:p>
        </w:tc>
        <w:tc>
          <w:tcPr>
            <w:tcW w:w="7110" w:type="dxa"/>
            <w:shd w:val="clear"/>
            <w:vAlign w:val="bottom"/>
          </w:tcPr>
          <w:p w14:paraId="53A94FA2">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红外激光辐射场空间分布测量及危害评价</w:t>
            </w:r>
          </w:p>
        </w:tc>
        <w:tc>
          <w:tcPr>
            <w:tcW w:w="1290" w:type="dxa"/>
            <w:shd w:val="clear"/>
            <w:vAlign w:val="bottom"/>
          </w:tcPr>
          <w:p w14:paraId="32A1EED6">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董现玲</w:t>
            </w:r>
          </w:p>
        </w:tc>
        <w:tc>
          <w:tcPr>
            <w:tcW w:w="870" w:type="dxa"/>
            <w:shd w:val="clear"/>
            <w:vAlign w:val="bottom"/>
          </w:tcPr>
          <w:p w14:paraId="678678D5">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85.34</w:t>
            </w:r>
          </w:p>
        </w:tc>
      </w:tr>
      <w:tr w14:paraId="23B11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AFC5F28">
            <w:pPr>
              <w:spacing w:line="360" w:lineRule="auto"/>
              <w:jc w:val="center"/>
              <w:rPr>
                <w:rFonts w:hint="default"/>
                <w:sz w:val="22"/>
                <w:szCs w:val="22"/>
                <w:highlight w:val="none"/>
                <w:lang w:val="en-US" w:eastAsia="zh-CN"/>
              </w:rPr>
            </w:pPr>
            <w:r>
              <w:rPr>
                <w:rFonts w:hint="eastAsia"/>
                <w:sz w:val="22"/>
                <w:szCs w:val="22"/>
                <w:highlight w:val="none"/>
                <w:lang w:val="en-US" w:eastAsia="zh-CN"/>
              </w:rPr>
              <w:t>22</w:t>
            </w:r>
          </w:p>
        </w:tc>
        <w:tc>
          <w:tcPr>
            <w:tcW w:w="1635" w:type="dxa"/>
            <w:shd w:val="clear"/>
            <w:vAlign w:val="bottom"/>
          </w:tcPr>
          <w:p w14:paraId="14405C1D">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医学信息工程</w:t>
            </w:r>
          </w:p>
        </w:tc>
        <w:tc>
          <w:tcPr>
            <w:tcW w:w="1650" w:type="dxa"/>
            <w:shd w:val="clear" w:color="auto" w:fill="auto"/>
            <w:vAlign w:val="bottom"/>
          </w:tcPr>
          <w:p w14:paraId="1725B0EB">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2022107210125</w:t>
            </w:r>
          </w:p>
        </w:tc>
        <w:tc>
          <w:tcPr>
            <w:tcW w:w="1215" w:type="dxa"/>
            <w:shd w:val="clear" w:color="auto" w:fill="auto"/>
            <w:vAlign w:val="bottom"/>
          </w:tcPr>
          <w:p w14:paraId="0F7E03B0">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赵子涵</w:t>
            </w:r>
          </w:p>
        </w:tc>
        <w:tc>
          <w:tcPr>
            <w:tcW w:w="7110" w:type="dxa"/>
            <w:shd w:val="clear"/>
            <w:vAlign w:val="bottom"/>
          </w:tcPr>
          <w:p w14:paraId="27C28108">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面向过程控制的医院标本物流信息管理系统设计与实现</w:t>
            </w:r>
          </w:p>
        </w:tc>
        <w:tc>
          <w:tcPr>
            <w:tcW w:w="1290" w:type="dxa"/>
            <w:shd w:val="clear"/>
            <w:vAlign w:val="bottom"/>
          </w:tcPr>
          <w:p w14:paraId="72299831">
            <w:pPr>
              <w:keepNext w:val="0"/>
              <w:keepLines w:val="0"/>
              <w:widowControl/>
              <w:suppressLineNumbers w:val="0"/>
              <w:spacing w:line="360" w:lineRule="auto"/>
              <w:ind w:left="0" w:leftChars="0"/>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赵佳</w:t>
            </w:r>
          </w:p>
        </w:tc>
        <w:tc>
          <w:tcPr>
            <w:tcW w:w="870" w:type="dxa"/>
            <w:shd w:val="clear" w:color="auto" w:fill="auto"/>
            <w:vAlign w:val="bottom"/>
          </w:tcPr>
          <w:p w14:paraId="7A303551">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89.83</w:t>
            </w:r>
          </w:p>
        </w:tc>
      </w:tr>
      <w:tr w14:paraId="0FB3F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3D77B704">
            <w:pPr>
              <w:spacing w:line="360" w:lineRule="auto"/>
              <w:jc w:val="center"/>
              <w:rPr>
                <w:rFonts w:hint="default"/>
                <w:sz w:val="22"/>
                <w:szCs w:val="22"/>
                <w:highlight w:val="none"/>
                <w:lang w:val="en-US" w:eastAsia="zh-CN"/>
              </w:rPr>
            </w:pPr>
            <w:r>
              <w:rPr>
                <w:rFonts w:hint="eastAsia"/>
                <w:sz w:val="22"/>
                <w:szCs w:val="22"/>
                <w:highlight w:val="none"/>
                <w:lang w:val="en-US" w:eastAsia="zh-CN"/>
              </w:rPr>
              <w:t>23</w:t>
            </w:r>
          </w:p>
        </w:tc>
        <w:tc>
          <w:tcPr>
            <w:tcW w:w="1635" w:type="dxa"/>
            <w:shd w:val="clear"/>
            <w:vAlign w:val="bottom"/>
          </w:tcPr>
          <w:p w14:paraId="593E9937">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医学信息工程</w:t>
            </w:r>
          </w:p>
        </w:tc>
        <w:tc>
          <w:tcPr>
            <w:tcW w:w="1650" w:type="dxa"/>
            <w:shd w:val="clear" w:color="auto" w:fill="auto"/>
            <w:vAlign w:val="bottom"/>
          </w:tcPr>
          <w:p w14:paraId="37D48BED">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2022107210105</w:t>
            </w:r>
          </w:p>
        </w:tc>
        <w:tc>
          <w:tcPr>
            <w:tcW w:w="1215" w:type="dxa"/>
            <w:shd w:val="clear" w:color="auto" w:fill="auto"/>
            <w:vAlign w:val="bottom"/>
          </w:tcPr>
          <w:p w14:paraId="37ECFAE0">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张兴海</w:t>
            </w:r>
          </w:p>
        </w:tc>
        <w:tc>
          <w:tcPr>
            <w:tcW w:w="7110" w:type="dxa"/>
            <w:shd w:val="clear"/>
            <w:vAlign w:val="bottom"/>
          </w:tcPr>
          <w:p w14:paraId="2DCF06E8">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医疗设备智能维修助手系统的设计与实现</w:t>
            </w:r>
          </w:p>
        </w:tc>
        <w:tc>
          <w:tcPr>
            <w:tcW w:w="1290" w:type="dxa"/>
            <w:shd w:val="clear"/>
            <w:vAlign w:val="bottom"/>
          </w:tcPr>
          <w:p w14:paraId="0A8B58F8">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杨李秀男</w:t>
            </w:r>
          </w:p>
        </w:tc>
        <w:tc>
          <w:tcPr>
            <w:tcW w:w="870" w:type="dxa"/>
            <w:shd w:val="clear" w:color="auto" w:fill="auto"/>
            <w:vAlign w:val="bottom"/>
          </w:tcPr>
          <w:p w14:paraId="06117A5F">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88.5</w:t>
            </w:r>
          </w:p>
        </w:tc>
      </w:tr>
      <w:tr w14:paraId="01D64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079837EF">
            <w:pPr>
              <w:spacing w:line="360" w:lineRule="auto"/>
              <w:jc w:val="center"/>
              <w:rPr>
                <w:rFonts w:hint="default"/>
                <w:sz w:val="22"/>
                <w:szCs w:val="22"/>
                <w:highlight w:val="none"/>
                <w:lang w:val="en-US" w:eastAsia="zh-CN"/>
              </w:rPr>
            </w:pPr>
            <w:r>
              <w:rPr>
                <w:rFonts w:hint="eastAsia"/>
                <w:sz w:val="22"/>
                <w:szCs w:val="22"/>
                <w:highlight w:val="none"/>
                <w:lang w:val="en-US" w:eastAsia="zh-CN"/>
              </w:rPr>
              <w:t>24</w:t>
            </w:r>
          </w:p>
        </w:tc>
        <w:tc>
          <w:tcPr>
            <w:tcW w:w="1635" w:type="dxa"/>
            <w:shd w:val="clear"/>
            <w:vAlign w:val="bottom"/>
          </w:tcPr>
          <w:p w14:paraId="05BB21E6">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医学信息工程</w:t>
            </w:r>
          </w:p>
        </w:tc>
        <w:tc>
          <w:tcPr>
            <w:tcW w:w="1650" w:type="dxa"/>
            <w:shd w:val="clear" w:color="auto" w:fill="auto"/>
            <w:vAlign w:val="bottom"/>
          </w:tcPr>
          <w:p w14:paraId="084BD809">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2022107210121</w:t>
            </w:r>
          </w:p>
        </w:tc>
        <w:tc>
          <w:tcPr>
            <w:tcW w:w="1215" w:type="dxa"/>
            <w:shd w:val="clear" w:color="auto" w:fill="auto"/>
            <w:vAlign w:val="bottom"/>
          </w:tcPr>
          <w:p w14:paraId="00759F49">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刘成佳</w:t>
            </w:r>
          </w:p>
        </w:tc>
        <w:tc>
          <w:tcPr>
            <w:tcW w:w="7110" w:type="dxa"/>
            <w:shd w:val="clear"/>
            <w:vAlign w:val="bottom"/>
          </w:tcPr>
          <w:p w14:paraId="02C08049">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40Hz闪光刺激对微波辐射致认知损伤作用的研究</w:t>
            </w:r>
          </w:p>
        </w:tc>
        <w:tc>
          <w:tcPr>
            <w:tcW w:w="1290" w:type="dxa"/>
            <w:shd w:val="clear"/>
            <w:vAlign w:val="bottom"/>
          </w:tcPr>
          <w:p w14:paraId="37ECAC62">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李玉红</w:t>
            </w:r>
          </w:p>
        </w:tc>
        <w:tc>
          <w:tcPr>
            <w:tcW w:w="870" w:type="dxa"/>
            <w:shd w:val="clear" w:color="auto" w:fill="auto"/>
            <w:vAlign w:val="bottom"/>
          </w:tcPr>
          <w:p w14:paraId="77827C9E">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87.27</w:t>
            </w:r>
          </w:p>
        </w:tc>
      </w:tr>
      <w:tr w14:paraId="026DC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E9F0D13">
            <w:pPr>
              <w:spacing w:line="360" w:lineRule="auto"/>
              <w:jc w:val="center"/>
              <w:rPr>
                <w:rFonts w:hint="default"/>
                <w:sz w:val="22"/>
                <w:szCs w:val="22"/>
                <w:highlight w:val="none"/>
                <w:lang w:val="en-US" w:eastAsia="zh-CN"/>
              </w:rPr>
            </w:pPr>
            <w:r>
              <w:rPr>
                <w:rFonts w:hint="eastAsia"/>
                <w:sz w:val="22"/>
                <w:szCs w:val="22"/>
                <w:highlight w:val="none"/>
                <w:lang w:val="en-US" w:eastAsia="zh-CN"/>
              </w:rPr>
              <w:t>25</w:t>
            </w:r>
          </w:p>
        </w:tc>
        <w:tc>
          <w:tcPr>
            <w:tcW w:w="1635" w:type="dxa"/>
            <w:shd w:val="clear"/>
            <w:vAlign w:val="bottom"/>
          </w:tcPr>
          <w:p w14:paraId="2093F9E5">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医学信息工程</w:t>
            </w:r>
          </w:p>
        </w:tc>
        <w:tc>
          <w:tcPr>
            <w:tcW w:w="1650" w:type="dxa"/>
            <w:shd w:val="clear" w:color="auto" w:fill="auto"/>
            <w:vAlign w:val="bottom"/>
          </w:tcPr>
          <w:p w14:paraId="39DFD9DF">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2022107210120</w:t>
            </w:r>
          </w:p>
        </w:tc>
        <w:tc>
          <w:tcPr>
            <w:tcW w:w="1215" w:type="dxa"/>
            <w:shd w:val="clear" w:color="auto" w:fill="auto"/>
            <w:vAlign w:val="bottom"/>
          </w:tcPr>
          <w:p w14:paraId="54D9095A">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霍子贤</w:t>
            </w:r>
          </w:p>
        </w:tc>
        <w:tc>
          <w:tcPr>
            <w:tcW w:w="7110" w:type="dxa"/>
            <w:shd w:val="clear"/>
            <w:vAlign w:val="bottom"/>
          </w:tcPr>
          <w:p w14:paraId="552B089C">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医用耗材出入库全流程管理系统设计与实现</w:t>
            </w:r>
          </w:p>
        </w:tc>
        <w:tc>
          <w:tcPr>
            <w:tcW w:w="1290" w:type="dxa"/>
            <w:shd w:val="clear"/>
            <w:vAlign w:val="bottom"/>
          </w:tcPr>
          <w:p w14:paraId="34A6B896">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赵佳</w:t>
            </w:r>
          </w:p>
        </w:tc>
        <w:tc>
          <w:tcPr>
            <w:tcW w:w="870" w:type="dxa"/>
            <w:shd w:val="clear" w:color="auto" w:fill="auto"/>
            <w:vAlign w:val="bottom"/>
          </w:tcPr>
          <w:p w14:paraId="20D40260">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87.13</w:t>
            </w:r>
          </w:p>
        </w:tc>
      </w:tr>
      <w:tr w14:paraId="7487F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4631F37">
            <w:pPr>
              <w:spacing w:line="360" w:lineRule="auto"/>
              <w:jc w:val="center"/>
              <w:rPr>
                <w:rFonts w:hint="default"/>
                <w:sz w:val="22"/>
                <w:szCs w:val="22"/>
                <w:highlight w:val="none"/>
                <w:lang w:val="en-US" w:eastAsia="zh-CN"/>
              </w:rPr>
            </w:pPr>
            <w:r>
              <w:rPr>
                <w:rFonts w:hint="eastAsia"/>
                <w:sz w:val="22"/>
                <w:szCs w:val="22"/>
                <w:highlight w:val="none"/>
                <w:lang w:val="en-US" w:eastAsia="zh-CN"/>
              </w:rPr>
              <w:t>26</w:t>
            </w:r>
          </w:p>
        </w:tc>
        <w:tc>
          <w:tcPr>
            <w:tcW w:w="1635" w:type="dxa"/>
            <w:shd w:val="clear"/>
            <w:vAlign w:val="bottom"/>
          </w:tcPr>
          <w:p w14:paraId="26981C9A">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医学信息工程</w:t>
            </w:r>
          </w:p>
        </w:tc>
        <w:tc>
          <w:tcPr>
            <w:tcW w:w="1650" w:type="dxa"/>
            <w:shd w:val="clear" w:color="auto" w:fill="auto"/>
            <w:vAlign w:val="bottom"/>
          </w:tcPr>
          <w:p w14:paraId="5608AF94">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2022107210119</w:t>
            </w:r>
          </w:p>
        </w:tc>
        <w:tc>
          <w:tcPr>
            <w:tcW w:w="1215" w:type="dxa"/>
            <w:shd w:val="clear" w:color="auto" w:fill="auto"/>
            <w:vAlign w:val="bottom"/>
          </w:tcPr>
          <w:p w14:paraId="48B8D4C5">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倪敏</w:t>
            </w:r>
          </w:p>
        </w:tc>
        <w:tc>
          <w:tcPr>
            <w:tcW w:w="7110" w:type="dxa"/>
            <w:shd w:val="clear"/>
            <w:vAlign w:val="bottom"/>
          </w:tcPr>
          <w:p w14:paraId="1B63E31C">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医疗器械管理系统的应用设计与实现</w:t>
            </w:r>
          </w:p>
        </w:tc>
        <w:tc>
          <w:tcPr>
            <w:tcW w:w="1290" w:type="dxa"/>
            <w:shd w:val="clear"/>
            <w:vAlign w:val="bottom"/>
          </w:tcPr>
          <w:p w14:paraId="10A8AFCB">
            <w:pPr>
              <w:keepNext w:val="0"/>
              <w:keepLines w:val="0"/>
              <w:widowControl/>
              <w:suppressLineNumbers w:val="0"/>
              <w:spacing w:line="360" w:lineRule="auto"/>
              <w:jc w:val="center"/>
              <w:textAlignment w:val="bottom"/>
              <w:rPr>
                <w:rFonts w:hint="eastAsia" w:ascii="宋体" w:hAnsi="宋体" w:eastAsia="宋体" w:cs="宋体"/>
                <w:b w:val="0"/>
                <w:bCs w:val="0"/>
                <w:kern w:val="2"/>
                <w:sz w:val="22"/>
                <w:szCs w:val="22"/>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杨李秀男</w:t>
            </w:r>
          </w:p>
        </w:tc>
        <w:tc>
          <w:tcPr>
            <w:tcW w:w="870" w:type="dxa"/>
            <w:shd w:val="clear" w:color="auto" w:fill="auto"/>
            <w:vAlign w:val="bottom"/>
          </w:tcPr>
          <w:p w14:paraId="1A2FCF21">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eastAsia" w:ascii="Times New Roman" w:hAnsi="Times New Roman" w:eastAsia="宋体" w:cs="Times New Roman"/>
                <w:i w:val="0"/>
                <w:iCs w:val="0"/>
                <w:color w:val="000000"/>
                <w:kern w:val="0"/>
                <w:sz w:val="22"/>
                <w:szCs w:val="22"/>
                <w:highlight w:val="none"/>
                <w:u w:val="none"/>
                <w:lang w:val="en-US" w:eastAsia="zh-CN" w:bidi="ar"/>
              </w:rPr>
              <w:t>85.13</w:t>
            </w:r>
          </w:p>
        </w:tc>
      </w:tr>
      <w:tr w14:paraId="7D125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5DF373F">
            <w:pPr>
              <w:spacing w:line="360" w:lineRule="auto"/>
              <w:jc w:val="center"/>
              <w:rPr>
                <w:rFonts w:hint="default"/>
                <w:sz w:val="22"/>
                <w:szCs w:val="22"/>
                <w:highlight w:val="none"/>
                <w:lang w:val="en-US" w:eastAsia="zh-CN"/>
              </w:rPr>
            </w:pPr>
            <w:r>
              <w:rPr>
                <w:rFonts w:hint="eastAsia"/>
                <w:sz w:val="22"/>
                <w:szCs w:val="22"/>
                <w:highlight w:val="none"/>
                <w:lang w:val="en-US" w:eastAsia="zh-CN"/>
              </w:rPr>
              <w:t>27</w:t>
            </w:r>
          </w:p>
        </w:tc>
        <w:tc>
          <w:tcPr>
            <w:tcW w:w="1635" w:type="dxa"/>
            <w:shd w:val="clear"/>
            <w:vAlign w:val="bottom"/>
          </w:tcPr>
          <w:p w14:paraId="610A8FC8">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生物信息学</w:t>
            </w:r>
          </w:p>
        </w:tc>
        <w:tc>
          <w:tcPr>
            <w:tcW w:w="1650" w:type="dxa"/>
            <w:shd w:val="clear" w:color="auto" w:fill="auto"/>
            <w:vAlign w:val="bottom"/>
          </w:tcPr>
          <w:p w14:paraId="201C3C63">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2022107010129</w:t>
            </w:r>
          </w:p>
        </w:tc>
        <w:tc>
          <w:tcPr>
            <w:tcW w:w="1215" w:type="dxa"/>
            <w:shd w:val="clear" w:color="auto" w:fill="auto"/>
            <w:vAlign w:val="bottom"/>
          </w:tcPr>
          <w:p w14:paraId="52D6425A">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麻思佳</w:t>
            </w:r>
          </w:p>
        </w:tc>
        <w:tc>
          <w:tcPr>
            <w:tcW w:w="7110" w:type="dxa"/>
            <w:shd w:val="clear"/>
            <w:vAlign w:val="bottom"/>
          </w:tcPr>
          <w:p w14:paraId="0E491E78">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基于WGCNA和机器算法挖掘脊髓损伤修复的关键基因</w:t>
            </w:r>
          </w:p>
        </w:tc>
        <w:tc>
          <w:tcPr>
            <w:tcW w:w="1290" w:type="dxa"/>
            <w:shd w:val="clear"/>
            <w:vAlign w:val="bottom"/>
          </w:tcPr>
          <w:p w14:paraId="7C666D97">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谷苗</w:t>
            </w:r>
          </w:p>
        </w:tc>
        <w:tc>
          <w:tcPr>
            <w:tcW w:w="870" w:type="dxa"/>
            <w:shd w:val="clear" w:color="auto" w:fill="auto"/>
            <w:vAlign w:val="bottom"/>
          </w:tcPr>
          <w:p w14:paraId="1F4AFB69">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93.13</w:t>
            </w:r>
          </w:p>
        </w:tc>
      </w:tr>
      <w:tr w14:paraId="00369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66003F7">
            <w:pPr>
              <w:spacing w:line="360" w:lineRule="auto"/>
              <w:jc w:val="center"/>
              <w:rPr>
                <w:rFonts w:hint="default"/>
                <w:sz w:val="22"/>
                <w:szCs w:val="22"/>
                <w:highlight w:val="none"/>
                <w:lang w:val="en-US" w:eastAsia="zh-CN"/>
              </w:rPr>
            </w:pPr>
            <w:r>
              <w:rPr>
                <w:rFonts w:hint="eastAsia"/>
                <w:sz w:val="22"/>
                <w:szCs w:val="22"/>
                <w:highlight w:val="none"/>
                <w:lang w:val="en-US" w:eastAsia="zh-CN"/>
              </w:rPr>
              <w:t>28</w:t>
            </w:r>
          </w:p>
        </w:tc>
        <w:tc>
          <w:tcPr>
            <w:tcW w:w="1635" w:type="dxa"/>
            <w:shd w:val="clear"/>
            <w:vAlign w:val="bottom"/>
          </w:tcPr>
          <w:p w14:paraId="45A77CAF">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生物信息学</w:t>
            </w:r>
          </w:p>
        </w:tc>
        <w:tc>
          <w:tcPr>
            <w:tcW w:w="1650" w:type="dxa"/>
            <w:shd w:val="clear" w:color="auto" w:fill="auto"/>
            <w:vAlign w:val="bottom"/>
          </w:tcPr>
          <w:p w14:paraId="2F251FD3">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2022107010133</w:t>
            </w:r>
          </w:p>
        </w:tc>
        <w:tc>
          <w:tcPr>
            <w:tcW w:w="1215" w:type="dxa"/>
            <w:shd w:val="clear" w:color="auto" w:fill="auto"/>
            <w:vAlign w:val="bottom"/>
          </w:tcPr>
          <w:p w14:paraId="5387D08C">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张嘉轩</w:t>
            </w:r>
          </w:p>
        </w:tc>
        <w:tc>
          <w:tcPr>
            <w:tcW w:w="7110" w:type="dxa"/>
            <w:shd w:val="clear"/>
            <w:vAlign w:val="bottom"/>
          </w:tcPr>
          <w:p w14:paraId="5FB64D4C">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不同频率电磁辐射暴露对小鼠免疫功能的影响研究</w:t>
            </w:r>
          </w:p>
        </w:tc>
        <w:tc>
          <w:tcPr>
            <w:tcW w:w="1290" w:type="dxa"/>
            <w:shd w:val="clear"/>
            <w:vAlign w:val="bottom"/>
          </w:tcPr>
          <w:p w14:paraId="2FE13225">
            <w:pPr>
              <w:keepNext w:val="0"/>
              <w:keepLines w:val="0"/>
              <w:widowControl/>
              <w:suppressLineNumbers w:val="0"/>
              <w:spacing w:line="360" w:lineRule="auto"/>
              <w:jc w:val="center"/>
              <w:textAlignment w:val="bottom"/>
              <w:rPr>
                <w:rFonts w:hint="eastAsia"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王文斌</w:t>
            </w:r>
          </w:p>
        </w:tc>
        <w:tc>
          <w:tcPr>
            <w:tcW w:w="870" w:type="dxa"/>
            <w:shd w:val="clear" w:color="auto" w:fill="auto"/>
            <w:vAlign w:val="bottom"/>
          </w:tcPr>
          <w:p w14:paraId="4B23D882">
            <w:pPr>
              <w:keepNext w:val="0"/>
              <w:keepLines w:val="0"/>
              <w:widowControl/>
              <w:suppressLineNumbers w:val="0"/>
              <w:spacing w:line="360" w:lineRule="auto"/>
              <w:jc w:val="center"/>
              <w:textAlignment w:val="top"/>
              <w:rPr>
                <w:rFonts w:hint="eastAsia"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90.67</w:t>
            </w:r>
          </w:p>
        </w:tc>
      </w:tr>
      <w:tr w14:paraId="37841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C465B76">
            <w:pPr>
              <w:spacing w:line="360" w:lineRule="auto"/>
              <w:jc w:val="center"/>
              <w:rPr>
                <w:rFonts w:hint="default"/>
                <w:sz w:val="22"/>
                <w:szCs w:val="22"/>
                <w:highlight w:val="none"/>
                <w:lang w:val="en-US" w:eastAsia="zh-CN"/>
              </w:rPr>
            </w:pPr>
            <w:r>
              <w:rPr>
                <w:rFonts w:hint="eastAsia"/>
                <w:sz w:val="22"/>
                <w:szCs w:val="22"/>
                <w:highlight w:val="none"/>
                <w:lang w:val="en-US" w:eastAsia="zh-CN"/>
              </w:rPr>
              <w:t>29</w:t>
            </w:r>
          </w:p>
        </w:tc>
        <w:tc>
          <w:tcPr>
            <w:tcW w:w="1635" w:type="dxa"/>
            <w:shd w:val="clear"/>
            <w:vAlign w:val="bottom"/>
          </w:tcPr>
          <w:p w14:paraId="56E4E946">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生物信息学</w:t>
            </w:r>
          </w:p>
        </w:tc>
        <w:tc>
          <w:tcPr>
            <w:tcW w:w="1650" w:type="dxa"/>
            <w:shd w:val="clear" w:color="auto" w:fill="auto"/>
            <w:vAlign w:val="bottom"/>
          </w:tcPr>
          <w:p w14:paraId="2D577A18">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2022107010123</w:t>
            </w:r>
          </w:p>
        </w:tc>
        <w:tc>
          <w:tcPr>
            <w:tcW w:w="1215" w:type="dxa"/>
            <w:shd w:val="clear" w:color="auto" w:fill="auto"/>
            <w:vAlign w:val="bottom"/>
          </w:tcPr>
          <w:p w14:paraId="673BD7F1">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丁亚帆</w:t>
            </w:r>
          </w:p>
        </w:tc>
        <w:tc>
          <w:tcPr>
            <w:tcW w:w="7110" w:type="dxa"/>
            <w:shd w:val="clear"/>
            <w:vAlign w:val="bottom"/>
          </w:tcPr>
          <w:p w14:paraId="70953914">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脱水致认知能力损伤的机制研究</w:t>
            </w:r>
          </w:p>
        </w:tc>
        <w:tc>
          <w:tcPr>
            <w:tcW w:w="1290" w:type="dxa"/>
            <w:shd w:val="clear"/>
            <w:vAlign w:val="bottom"/>
          </w:tcPr>
          <w:p w14:paraId="339D0C58">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武舒婷</w:t>
            </w:r>
          </w:p>
        </w:tc>
        <w:tc>
          <w:tcPr>
            <w:tcW w:w="870" w:type="dxa"/>
            <w:shd w:val="clear" w:color="auto" w:fill="auto"/>
            <w:vAlign w:val="bottom"/>
          </w:tcPr>
          <w:p w14:paraId="6AAD3E58">
            <w:pPr>
              <w:keepNext w:val="0"/>
              <w:keepLines w:val="0"/>
              <w:widowControl/>
              <w:suppressLineNumbers w:val="0"/>
              <w:spacing w:line="360" w:lineRule="auto"/>
              <w:jc w:val="center"/>
              <w:textAlignment w:val="top"/>
              <w:rPr>
                <w:rFonts w:hint="default"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89.93</w:t>
            </w:r>
          </w:p>
        </w:tc>
      </w:tr>
      <w:tr w14:paraId="4EF3B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14DB5A5">
            <w:pPr>
              <w:spacing w:line="360" w:lineRule="auto"/>
              <w:jc w:val="center"/>
              <w:rPr>
                <w:rFonts w:hint="default"/>
                <w:sz w:val="22"/>
                <w:szCs w:val="22"/>
                <w:highlight w:val="none"/>
                <w:lang w:val="en-US" w:eastAsia="zh-CN"/>
              </w:rPr>
            </w:pPr>
            <w:r>
              <w:rPr>
                <w:rFonts w:hint="eastAsia"/>
                <w:sz w:val="22"/>
                <w:szCs w:val="22"/>
                <w:highlight w:val="none"/>
                <w:lang w:val="en-US" w:eastAsia="zh-CN"/>
              </w:rPr>
              <w:t>30</w:t>
            </w:r>
          </w:p>
        </w:tc>
        <w:tc>
          <w:tcPr>
            <w:tcW w:w="1635" w:type="dxa"/>
            <w:shd w:val="clear"/>
            <w:vAlign w:val="bottom"/>
          </w:tcPr>
          <w:p w14:paraId="40DB20E5">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生物信息学</w:t>
            </w:r>
          </w:p>
        </w:tc>
        <w:tc>
          <w:tcPr>
            <w:tcW w:w="1650" w:type="dxa"/>
            <w:shd w:val="clear" w:color="auto" w:fill="auto"/>
            <w:vAlign w:val="bottom"/>
          </w:tcPr>
          <w:p w14:paraId="441EAEC1">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2022107010137</w:t>
            </w:r>
          </w:p>
        </w:tc>
        <w:tc>
          <w:tcPr>
            <w:tcW w:w="1215" w:type="dxa"/>
            <w:shd w:val="clear" w:color="auto" w:fill="auto"/>
            <w:vAlign w:val="bottom"/>
          </w:tcPr>
          <w:p w14:paraId="564BED95">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袁艺萌</w:t>
            </w:r>
          </w:p>
        </w:tc>
        <w:tc>
          <w:tcPr>
            <w:tcW w:w="7110" w:type="dxa"/>
            <w:shd w:val="clear"/>
            <w:vAlign w:val="bottom"/>
          </w:tcPr>
          <w:p w14:paraId="12C4CB8A">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多肽基三维肿瘤细胞球的制备及流变学性能表征</w:t>
            </w:r>
          </w:p>
        </w:tc>
        <w:tc>
          <w:tcPr>
            <w:tcW w:w="1290" w:type="dxa"/>
            <w:shd w:val="clear"/>
            <w:vAlign w:val="bottom"/>
          </w:tcPr>
          <w:p w14:paraId="5D9E7C42">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张晓理</w:t>
            </w:r>
          </w:p>
        </w:tc>
        <w:tc>
          <w:tcPr>
            <w:tcW w:w="870" w:type="dxa"/>
            <w:shd w:val="clear" w:color="auto" w:fill="auto"/>
            <w:vAlign w:val="bottom"/>
          </w:tcPr>
          <w:p w14:paraId="29175682">
            <w:pPr>
              <w:keepNext w:val="0"/>
              <w:keepLines w:val="0"/>
              <w:widowControl/>
              <w:suppressLineNumbers w:val="0"/>
              <w:spacing w:line="360" w:lineRule="auto"/>
              <w:jc w:val="center"/>
              <w:textAlignment w:val="top"/>
              <w:rPr>
                <w:rFonts w:hint="default"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89.7</w:t>
            </w:r>
          </w:p>
        </w:tc>
      </w:tr>
      <w:tr w14:paraId="42EBE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5BA7C1B">
            <w:pPr>
              <w:spacing w:line="360" w:lineRule="auto"/>
              <w:jc w:val="center"/>
              <w:rPr>
                <w:rFonts w:hint="default"/>
                <w:sz w:val="22"/>
                <w:szCs w:val="22"/>
                <w:highlight w:val="none"/>
                <w:lang w:val="en-US" w:eastAsia="zh-CN"/>
              </w:rPr>
            </w:pPr>
            <w:r>
              <w:rPr>
                <w:rFonts w:hint="eastAsia"/>
                <w:sz w:val="22"/>
                <w:szCs w:val="22"/>
                <w:highlight w:val="none"/>
                <w:lang w:val="en-US" w:eastAsia="zh-CN"/>
              </w:rPr>
              <w:t>31</w:t>
            </w:r>
          </w:p>
        </w:tc>
        <w:tc>
          <w:tcPr>
            <w:tcW w:w="1635" w:type="dxa"/>
            <w:shd w:val="clear"/>
            <w:vAlign w:val="bottom"/>
          </w:tcPr>
          <w:p w14:paraId="731241A0">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生物信息学</w:t>
            </w:r>
          </w:p>
        </w:tc>
        <w:tc>
          <w:tcPr>
            <w:tcW w:w="1650" w:type="dxa"/>
            <w:shd w:val="clear" w:color="auto" w:fill="auto"/>
            <w:vAlign w:val="bottom"/>
          </w:tcPr>
          <w:p w14:paraId="121890FC">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2022107010131</w:t>
            </w:r>
          </w:p>
        </w:tc>
        <w:tc>
          <w:tcPr>
            <w:tcW w:w="1215" w:type="dxa"/>
            <w:shd w:val="clear" w:color="auto" w:fill="auto"/>
            <w:vAlign w:val="bottom"/>
          </w:tcPr>
          <w:p w14:paraId="6C84BBB3">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马海蒙</w:t>
            </w:r>
          </w:p>
        </w:tc>
        <w:tc>
          <w:tcPr>
            <w:tcW w:w="7110" w:type="dxa"/>
            <w:shd w:val="clear"/>
            <w:vAlign w:val="bottom"/>
          </w:tcPr>
          <w:p w14:paraId="1200A3EE">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海藻糖在间充质干细胞冷冻保存中的最适浓度筛选</w:t>
            </w:r>
          </w:p>
        </w:tc>
        <w:tc>
          <w:tcPr>
            <w:tcW w:w="1290" w:type="dxa"/>
            <w:shd w:val="clear"/>
            <w:vAlign w:val="bottom"/>
          </w:tcPr>
          <w:p w14:paraId="47FB76D5">
            <w:pPr>
              <w:keepNext w:val="0"/>
              <w:keepLines w:val="0"/>
              <w:widowControl/>
              <w:suppressLineNumbers w:val="0"/>
              <w:spacing w:line="360" w:lineRule="auto"/>
              <w:jc w:val="center"/>
              <w:textAlignment w:val="bottom"/>
              <w:rPr>
                <w:rFonts w:hint="default" w:ascii="宋体" w:hAnsi="宋体" w:eastAsia="宋体" w:cs="宋体"/>
                <w:b w:val="0"/>
                <w:bCs w:val="0"/>
                <w:i w:val="0"/>
                <w:iCs w:val="0"/>
                <w:color w:val="000000"/>
                <w:kern w:val="0"/>
                <w:sz w:val="22"/>
                <w:szCs w:val="22"/>
                <w:u w:val="none"/>
                <w:lang w:val="en-US" w:eastAsia="zh-CN" w:bidi="ar"/>
              </w:rPr>
            </w:pPr>
            <w:r>
              <w:rPr>
                <w:rFonts w:hint="default" w:ascii="宋体" w:hAnsi="宋体" w:eastAsia="宋体" w:cs="宋体"/>
                <w:b w:val="0"/>
                <w:bCs w:val="0"/>
                <w:i w:val="0"/>
                <w:iCs w:val="0"/>
                <w:color w:val="000000"/>
                <w:kern w:val="0"/>
                <w:sz w:val="22"/>
                <w:szCs w:val="22"/>
                <w:u w:val="none"/>
                <w:lang w:val="en-US" w:eastAsia="zh-CN" w:bidi="ar"/>
              </w:rPr>
              <w:t>武舒婷</w:t>
            </w:r>
          </w:p>
        </w:tc>
        <w:tc>
          <w:tcPr>
            <w:tcW w:w="870" w:type="dxa"/>
            <w:shd w:val="clear" w:color="auto" w:fill="auto"/>
            <w:vAlign w:val="bottom"/>
          </w:tcPr>
          <w:p w14:paraId="1A8E73EE">
            <w:pPr>
              <w:keepNext w:val="0"/>
              <w:keepLines w:val="0"/>
              <w:widowControl/>
              <w:suppressLineNumbers w:val="0"/>
              <w:spacing w:line="360" w:lineRule="auto"/>
              <w:jc w:val="center"/>
              <w:textAlignment w:val="top"/>
              <w:rPr>
                <w:rFonts w:hint="default" w:ascii="Times New Roman" w:hAnsi="Times New Roman" w:eastAsia="宋体" w:cs="Times New Roman"/>
                <w:i w:val="0"/>
                <w:iCs w:val="0"/>
                <w:color w:val="000000"/>
                <w:kern w:val="0"/>
                <w:sz w:val="22"/>
                <w:szCs w:val="22"/>
                <w:highlight w:val="none"/>
                <w:u w:val="none"/>
                <w:lang w:val="en-US" w:eastAsia="zh-CN" w:bidi="ar"/>
              </w:rPr>
            </w:pPr>
            <w:r>
              <w:rPr>
                <w:rFonts w:hint="default" w:ascii="Times New Roman" w:hAnsi="Times New Roman" w:eastAsia="宋体" w:cs="Times New Roman"/>
                <w:i w:val="0"/>
                <w:iCs w:val="0"/>
                <w:color w:val="000000"/>
                <w:kern w:val="0"/>
                <w:sz w:val="22"/>
                <w:szCs w:val="22"/>
                <w:highlight w:val="none"/>
                <w:u w:val="none"/>
                <w:lang w:val="en-US" w:eastAsia="zh-CN" w:bidi="ar"/>
              </w:rPr>
              <w:t>89.43</w:t>
            </w:r>
          </w:p>
        </w:tc>
      </w:tr>
      <w:tr w14:paraId="1007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A67F019">
            <w:pPr>
              <w:spacing w:line="360" w:lineRule="auto"/>
              <w:jc w:val="center"/>
              <w:rPr>
                <w:rFonts w:hint="default"/>
                <w:sz w:val="22"/>
                <w:szCs w:val="22"/>
                <w:highlight w:val="none"/>
                <w:lang w:val="en-US" w:eastAsia="zh-CN"/>
              </w:rPr>
            </w:pPr>
            <w:r>
              <w:rPr>
                <w:rFonts w:hint="eastAsia"/>
                <w:sz w:val="22"/>
                <w:szCs w:val="22"/>
                <w:highlight w:val="none"/>
                <w:lang w:val="en-US" w:eastAsia="zh-CN"/>
              </w:rPr>
              <w:t>32</w:t>
            </w:r>
          </w:p>
        </w:tc>
        <w:tc>
          <w:tcPr>
            <w:tcW w:w="1635" w:type="dxa"/>
            <w:shd w:val="clear"/>
            <w:vAlign w:val="center"/>
          </w:tcPr>
          <w:p w14:paraId="0D0FF78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vAlign w:val="center"/>
          </w:tcPr>
          <w:p w14:paraId="21557B3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2022104110128</w:t>
            </w:r>
          </w:p>
        </w:tc>
        <w:tc>
          <w:tcPr>
            <w:tcW w:w="1215" w:type="dxa"/>
            <w:shd w:val="clear"/>
            <w:vAlign w:val="center"/>
          </w:tcPr>
          <w:p w14:paraId="0702254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闫佳鑫</w:t>
            </w:r>
          </w:p>
        </w:tc>
        <w:tc>
          <w:tcPr>
            <w:tcW w:w="7110" w:type="dxa"/>
            <w:shd w:val="clear"/>
            <w:vAlign w:val="center"/>
          </w:tcPr>
          <w:p w14:paraId="225A983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基于La³⁺- CuNCs的比率型荧光传感器用于左氧氟沙星的可视化检测</w:t>
            </w:r>
          </w:p>
        </w:tc>
        <w:tc>
          <w:tcPr>
            <w:tcW w:w="1290" w:type="dxa"/>
            <w:shd w:val="clear"/>
            <w:vAlign w:val="center"/>
          </w:tcPr>
          <w:p w14:paraId="2BDE0C4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王晨枫</w:t>
            </w:r>
          </w:p>
        </w:tc>
        <w:tc>
          <w:tcPr>
            <w:tcW w:w="870" w:type="dxa"/>
            <w:shd w:val="clear"/>
            <w:vAlign w:val="center"/>
          </w:tcPr>
          <w:p w14:paraId="3B4FA36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98.17 </w:t>
            </w:r>
          </w:p>
        </w:tc>
      </w:tr>
      <w:tr w14:paraId="7B7DB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97FB8C0">
            <w:pPr>
              <w:spacing w:line="360" w:lineRule="auto"/>
              <w:jc w:val="center"/>
              <w:rPr>
                <w:rFonts w:hint="default"/>
                <w:sz w:val="22"/>
                <w:szCs w:val="22"/>
                <w:highlight w:val="none"/>
                <w:lang w:val="en-US" w:eastAsia="zh-CN"/>
              </w:rPr>
            </w:pPr>
            <w:r>
              <w:rPr>
                <w:rFonts w:hint="eastAsia"/>
                <w:sz w:val="22"/>
                <w:szCs w:val="22"/>
                <w:highlight w:val="none"/>
                <w:lang w:val="en-US" w:eastAsia="zh-CN"/>
              </w:rPr>
              <w:t>33</w:t>
            </w:r>
          </w:p>
        </w:tc>
        <w:tc>
          <w:tcPr>
            <w:tcW w:w="1635" w:type="dxa"/>
            <w:shd w:val="clear"/>
            <w:vAlign w:val="center"/>
          </w:tcPr>
          <w:p w14:paraId="3E3DCD5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vAlign w:val="center"/>
          </w:tcPr>
          <w:p w14:paraId="3A97EA47">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2022104110125</w:t>
            </w:r>
          </w:p>
        </w:tc>
        <w:tc>
          <w:tcPr>
            <w:tcW w:w="1215" w:type="dxa"/>
            <w:shd w:val="clear"/>
            <w:vAlign w:val="center"/>
          </w:tcPr>
          <w:p w14:paraId="345B4E72">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张佳炜</w:t>
            </w:r>
          </w:p>
        </w:tc>
        <w:tc>
          <w:tcPr>
            <w:tcW w:w="7110" w:type="dxa"/>
            <w:shd w:val="clear"/>
            <w:vAlign w:val="center"/>
          </w:tcPr>
          <w:p w14:paraId="622B91D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基于植物代谢组学技术分析不同陈化年限陈皮药材化学成分的差异</w:t>
            </w:r>
          </w:p>
        </w:tc>
        <w:tc>
          <w:tcPr>
            <w:tcW w:w="1290" w:type="dxa"/>
            <w:shd w:val="clear"/>
            <w:vAlign w:val="center"/>
          </w:tcPr>
          <w:p w14:paraId="2217C845">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熊辉</w:t>
            </w:r>
          </w:p>
        </w:tc>
        <w:tc>
          <w:tcPr>
            <w:tcW w:w="870" w:type="dxa"/>
            <w:shd w:val="clear"/>
            <w:vAlign w:val="center"/>
          </w:tcPr>
          <w:p w14:paraId="1439835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98.17 </w:t>
            </w:r>
          </w:p>
        </w:tc>
      </w:tr>
      <w:tr w14:paraId="459CA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4200B928">
            <w:pPr>
              <w:spacing w:line="360" w:lineRule="auto"/>
              <w:jc w:val="center"/>
              <w:rPr>
                <w:rFonts w:hint="default"/>
                <w:sz w:val="22"/>
                <w:szCs w:val="22"/>
                <w:highlight w:val="none"/>
                <w:lang w:val="en-US" w:eastAsia="zh-CN"/>
              </w:rPr>
            </w:pPr>
            <w:r>
              <w:rPr>
                <w:rFonts w:hint="eastAsia"/>
                <w:sz w:val="22"/>
                <w:szCs w:val="22"/>
                <w:highlight w:val="none"/>
                <w:lang w:val="en-US" w:eastAsia="zh-CN"/>
              </w:rPr>
              <w:t>34</w:t>
            </w:r>
          </w:p>
        </w:tc>
        <w:tc>
          <w:tcPr>
            <w:tcW w:w="1635" w:type="dxa"/>
            <w:shd w:val="clear"/>
            <w:vAlign w:val="center"/>
          </w:tcPr>
          <w:p w14:paraId="2BB936E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vAlign w:val="center"/>
          </w:tcPr>
          <w:p w14:paraId="1CE4D38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2022104110134</w:t>
            </w:r>
          </w:p>
        </w:tc>
        <w:tc>
          <w:tcPr>
            <w:tcW w:w="1215" w:type="dxa"/>
            <w:shd w:val="clear"/>
            <w:vAlign w:val="center"/>
          </w:tcPr>
          <w:p w14:paraId="1BC90C6E">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张一然</w:t>
            </w:r>
          </w:p>
        </w:tc>
        <w:tc>
          <w:tcPr>
            <w:tcW w:w="7110" w:type="dxa"/>
            <w:shd w:val="clear"/>
            <w:vAlign w:val="center"/>
          </w:tcPr>
          <w:p w14:paraId="767FE71B">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妊娠合并李斯特菌感染患者妊娠结局及母婴共患感染特征研究</w:t>
            </w:r>
          </w:p>
        </w:tc>
        <w:tc>
          <w:tcPr>
            <w:tcW w:w="1290" w:type="dxa"/>
            <w:shd w:val="clear"/>
            <w:vAlign w:val="center"/>
          </w:tcPr>
          <w:p w14:paraId="2D3F09D5">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刘洋</w:t>
            </w:r>
          </w:p>
          <w:p w14:paraId="234C925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李艳荣</w:t>
            </w:r>
          </w:p>
        </w:tc>
        <w:tc>
          <w:tcPr>
            <w:tcW w:w="870" w:type="dxa"/>
            <w:shd w:val="clear"/>
            <w:vAlign w:val="center"/>
          </w:tcPr>
          <w:p w14:paraId="1F07D3BB">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97.30</w:t>
            </w:r>
          </w:p>
        </w:tc>
      </w:tr>
      <w:tr w14:paraId="7813C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80B0FB4">
            <w:pPr>
              <w:spacing w:line="360" w:lineRule="auto"/>
              <w:jc w:val="center"/>
              <w:rPr>
                <w:rFonts w:hint="default"/>
                <w:sz w:val="22"/>
                <w:szCs w:val="22"/>
                <w:highlight w:val="none"/>
                <w:lang w:val="en-US" w:eastAsia="zh-CN"/>
              </w:rPr>
            </w:pPr>
            <w:r>
              <w:rPr>
                <w:rFonts w:hint="eastAsia"/>
                <w:sz w:val="22"/>
                <w:szCs w:val="22"/>
                <w:highlight w:val="none"/>
                <w:lang w:val="en-US" w:eastAsia="zh-CN"/>
              </w:rPr>
              <w:t>35</w:t>
            </w:r>
          </w:p>
        </w:tc>
        <w:tc>
          <w:tcPr>
            <w:tcW w:w="1635" w:type="dxa"/>
            <w:shd w:val="clear"/>
            <w:vAlign w:val="center"/>
          </w:tcPr>
          <w:p w14:paraId="3496F9A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vAlign w:val="center"/>
          </w:tcPr>
          <w:p w14:paraId="3463DBD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2022104010204</w:t>
            </w:r>
          </w:p>
        </w:tc>
        <w:tc>
          <w:tcPr>
            <w:tcW w:w="1215" w:type="dxa"/>
            <w:shd w:val="clear"/>
            <w:vAlign w:val="center"/>
          </w:tcPr>
          <w:p w14:paraId="7A1D5A4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王鹏</w:t>
            </w:r>
          </w:p>
        </w:tc>
        <w:tc>
          <w:tcPr>
            <w:tcW w:w="7110" w:type="dxa"/>
            <w:shd w:val="clear"/>
            <w:vAlign w:val="center"/>
          </w:tcPr>
          <w:p w14:paraId="17D47375">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人参改善慢性肾病的网络药理学研究</w:t>
            </w:r>
          </w:p>
        </w:tc>
        <w:tc>
          <w:tcPr>
            <w:tcW w:w="1290" w:type="dxa"/>
            <w:shd w:val="clear"/>
            <w:vAlign w:val="center"/>
          </w:tcPr>
          <w:p w14:paraId="2897D2B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王玥玥</w:t>
            </w:r>
          </w:p>
        </w:tc>
        <w:tc>
          <w:tcPr>
            <w:tcW w:w="870" w:type="dxa"/>
            <w:shd w:val="clear"/>
            <w:vAlign w:val="center"/>
          </w:tcPr>
          <w:p w14:paraId="7281C9C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97.63 </w:t>
            </w:r>
          </w:p>
        </w:tc>
      </w:tr>
      <w:tr w14:paraId="39C28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7BE1AF0C">
            <w:pPr>
              <w:spacing w:line="360" w:lineRule="auto"/>
              <w:jc w:val="center"/>
              <w:rPr>
                <w:rFonts w:hint="default"/>
                <w:sz w:val="22"/>
                <w:szCs w:val="22"/>
                <w:highlight w:val="none"/>
                <w:lang w:val="en-US" w:eastAsia="zh-CN"/>
              </w:rPr>
            </w:pPr>
            <w:r>
              <w:rPr>
                <w:rFonts w:hint="eastAsia"/>
                <w:sz w:val="22"/>
                <w:szCs w:val="22"/>
                <w:highlight w:val="none"/>
                <w:lang w:val="en-US" w:eastAsia="zh-CN"/>
              </w:rPr>
              <w:t>36</w:t>
            </w:r>
          </w:p>
        </w:tc>
        <w:tc>
          <w:tcPr>
            <w:tcW w:w="1635" w:type="dxa"/>
            <w:shd w:val="clear" w:color="auto" w:fill="auto"/>
            <w:vAlign w:val="center"/>
          </w:tcPr>
          <w:p w14:paraId="58D5E5CA">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657C65C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2022104010136</w:t>
            </w:r>
          </w:p>
        </w:tc>
        <w:tc>
          <w:tcPr>
            <w:tcW w:w="1215" w:type="dxa"/>
            <w:shd w:val="clear" w:color="auto" w:fill="auto"/>
            <w:vAlign w:val="center"/>
          </w:tcPr>
          <w:p w14:paraId="6826EE3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张思雯</w:t>
            </w:r>
          </w:p>
        </w:tc>
        <w:tc>
          <w:tcPr>
            <w:tcW w:w="7110" w:type="dxa"/>
            <w:shd w:val="clear" w:color="auto" w:fill="auto"/>
            <w:vAlign w:val="center"/>
          </w:tcPr>
          <w:p w14:paraId="15DFEC1A">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某妇幼保健院2025年妇儿病区出院患者中草药使用情况浅析</w:t>
            </w:r>
          </w:p>
        </w:tc>
        <w:tc>
          <w:tcPr>
            <w:tcW w:w="1290" w:type="dxa"/>
            <w:shd w:val="clear" w:color="auto" w:fill="auto"/>
            <w:vAlign w:val="center"/>
          </w:tcPr>
          <w:p w14:paraId="1BD6D97E">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刘颖</w:t>
            </w:r>
          </w:p>
          <w:p w14:paraId="766E559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杜义龙</w:t>
            </w:r>
          </w:p>
        </w:tc>
        <w:tc>
          <w:tcPr>
            <w:tcW w:w="870" w:type="dxa"/>
            <w:shd w:val="clear" w:color="auto" w:fill="auto"/>
            <w:vAlign w:val="center"/>
          </w:tcPr>
          <w:p w14:paraId="365C3D3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96.43 </w:t>
            </w:r>
          </w:p>
        </w:tc>
      </w:tr>
      <w:tr w14:paraId="2016E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7F640EC">
            <w:pPr>
              <w:spacing w:line="360" w:lineRule="auto"/>
              <w:jc w:val="center"/>
              <w:rPr>
                <w:rFonts w:hint="default"/>
                <w:sz w:val="22"/>
                <w:szCs w:val="22"/>
                <w:highlight w:val="none"/>
                <w:lang w:val="en-US" w:eastAsia="zh-CN"/>
              </w:rPr>
            </w:pPr>
            <w:r>
              <w:rPr>
                <w:rFonts w:hint="eastAsia"/>
                <w:sz w:val="22"/>
                <w:szCs w:val="22"/>
                <w:highlight w:val="none"/>
                <w:lang w:val="en-US" w:eastAsia="zh-CN"/>
              </w:rPr>
              <w:t>37</w:t>
            </w:r>
          </w:p>
        </w:tc>
        <w:tc>
          <w:tcPr>
            <w:tcW w:w="1635" w:type="dxa"/>
            <w:shd w:val="clear"/>
            <w:vAlign w:val="center"/>
          </w:tcPr>
          <w:p w14:paraId="7E3D5DB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vAlign w:val="center"/>
          </w:tcPr>
          <w:p w14:paraId="402A000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2022104110103</w:t>
            </w:r>
          </w:p>
        </w:tc>
        <w:tc>
          <w:tcPr>
            <w:tcW w:w="1215" w:type="dxa"/>
            <w:shd w:val="clear"/>
            <w:vAlign w:val="center"/>
          </w:tcPr>
          <w:p w14:paraId="30090AC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李博丰</w:t>
            </w:r>
          </w:p>
        </w:tc>
        <w:tc>
          <w:tcPr>
            <w:tcW w:w="7110" w:type="dxa"/>
            <w:shd w:val="clear"/>
            <w:vAlign w:val="center"/>
          </w:tcPr>
          <w:p w14:paraId="6ADED19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基于真实世界数据的BTK抑制剂安全性比较研究</w:t>
            </w:r>
          </w:p>
        </w:tc>
        <w:tc>
          <w:tcPr>
            <w:tcW w:w="1290" w:type="dxa"/>
            <w:shd w:val="clear"/>
            <w:vAlign w:val="center"/>
          </w:tcPr>
          <w:p w14:paraId="4EB75032">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刘家阔</w:t>
            </w:r>
          </w:p>
          <w:p w14:paraId="57CDC76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周德军</w:t>
            </w:r>
          </w:p>
        </w:tc>
        <w:tc>
          <w:tcPr>
            <w:tcW w:w="870" w:type="dxa"/>
            <w:shd w:val="clear"/>
            <w:vAlign w:val="center"/>
          </w:tcPr>
          <w:p w14:paraId="56D96A4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93.93</w:t>
            </w:r>
          </w:p>
        </w:tc>
      </w:tr>
      <w:tr w14:paraId="74B24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20C10282">
            <w:pPr>
              <w:spacing w:line="360" w:lineRule="auto"/>
              <w:jc w:val="center"/>
              <w:rPr>
                <w:rFonts w:hint="default"/>
                <w:sz w:val="22"/>
                <w:szCs w:val="22"/>
                <w:highlight w:val="none"/>
                <w:lang w:val="en-US" w:eastAsia="zh-CN"/>
              </w:rPr>
            </w:pPr>
            <w:r>
              <w:rPr>
                <w:rFonts w:hint="eastAsia"/>
                <w:sz w:val="22"/>
                <w:szCs w:val="22"/>
                <w:highlight w:val="none"/>
                <w:lang w:val="en-US" w:eastAsia="zh-CN"/>
              </w:rPr>
              <w:t>38</w:t>
            </w:r>
          </w:p>
        </w:tc>
        <w:tc>
          <w:tcPr>
            <w:tcW w:w="1635" w:type="dxa"/>
            <w:shd w:val="clear"/>
            <w:vAlign w:val="center"/>
          </w:tcPr>
          <w:p w14:paraId="7250E27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vAlign w:val="center"/>
          </w:tcPr>
          <w:p w14:paraId="3B19910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2022104010211</w:t>
            </w:r>
          </w:p>
        </w:tc>
        <w:tc>
          <w:tcPr>
            <w:tcW w:w="1215" w:type="dxa"/>
            <w:shd w:val="clear" w:color="auto" w:fill="auto"/>
            <w:vAlign w:val="center"/>
          </w:tcPr>
          <w:p w14:paraId="45E0F93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李晓宇</w:t>
            </w:r>
          </w:p>
        </w:tc>
        <w:tc>
          <w:tcPr>
            <w:tcW w:w="7110" w:type="dxa"/>
            <w:shd w:val="clear"/>
            <w:vAlign w:val="center"/>
          </w:tcPr>
          <w:p w14:paraId="7A93CA3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吴茱萸热敷联合红外线治疗腹胀症状的疗效观察</w:t>
            </w:r>
          </w:p>
        </w:tc>
        <w:tc>
          <w:tcPr>
            <w:tcW w:w="1290" w:type="dxa"/>
            <w:shd w:val="clear"/>
            <w:vAlign w:val="center"/>
          </w:tcPr>
          <w:p w14:paraId="5520A38B">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温井奎</w:t>
            </w:r>
          </w:p>
          <w:p w14:paraId="5E0C505E">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郝婷</w:t>
            </w:r>
          </w:p>
        </w:tc>
        <w:tc>
          <w:tcPr>
            <w:tcW w:w="870" w:type="dxa"/>
            <w:shd w:val="clear"/>
            <w:vAlign w:val="center"/>
          </w:tcPr>
          <w:p w14:paraId="6D69DA2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92.67 </w:t>
            </w:r>
          </w:p>
        </w:tc>
      </w:tr>
      <w:tr w14:paraId="517AE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FA9EAB3">
            <w:pPr>
              <w:spacing w:line="360" w:lineRule="auto"/>
              <w:jc w:val="center"/>
              <w:rPr>
                <w:rFonts w:hint="default"/>
                <w:sz w:val="22"/>
                <w:szCs w:val="22"/>
                <w:highlight w:val="none"/>
                <w:lang w:val="en-US" w:eastAsia="zh-CN"/>
              </w:rPr>
            </w:pPr>
            <w:r>
              <w:rPr>
                <w:rFonts w:hint="eastAsia"/>
                <w:sz w:val="22"/>
                <w:szCs w:val="22"/>
                <w:highlight w:val="none"/>
                <w:lang w:val="en-US" w:eastAsia="zh-CN"/>
              </w:rPr>
              <w:t>39</w:t>
            </w:r>
          </w:p>
        </w:tc>
        <w:tc>
          <w:tcPr>
            <w:tcW w:w="1635" w:type="dxa"/>
            <w:shd w:val="clear" w:color="auto" w:fill="auto"/>
            <w:vAlign w:val="center"/>
          </w:tcPr>
          <w:p w14:paraId="38054A57">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6DEA47D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2022104010233</w:t>
            </w:r>
          </w:p>
        </w:tc>
        <w:tc>
          <w:tcPr>
            <w:tcW w:w="1215" w:type="dxa"/>
            <w:shd w:val="clear" w:color="auto" w:fill="auto"/>
            <w:vAlign w:val="bottom"/>
          </w:tcPr>
          <w:p w14:paraId="5CCF553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杨刘雅</w:t>
            </w:r>
          </w:p>
        </w:tc>
        <w:tc>
          <w:tcPr>
            <w:tcW w:w="7110" w:type="dxa"/>
            <w:shd w:val="clear" w:color="auto" w:fill="auto"/>
            <w:vAlign w:val="center"/>
          </w:tcPr>
          <w:p w14:paraId="2D38250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酸枣仁灵芝片的生产工艺优化及质量评价</w:t>
            </w:r>
          </w:p>
        </w:tc>
        <w:tc>
          <w:tcPr>
            <w:tcW w:w="1290" w:type="dxa"/>
            <w:shd w:val="clear" w:color="auto" w:fill="auto"/>
            <w:vAlign w:val="center"/>
          </w:tcPr>
          <w:p w14:paraId="1DA20CC5">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杨红云</w:t>
            </w:r>
          </w:p>
          <w:p w14:paraId="2719142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王汝兴</w:t>
            </w:r>
          </w:p>
        </w:tc>
        <w:tc>
          <w:tcPr>
            <w:tcW w:w="870" w:type="dxa"/>
            <w:shd w:val="clear" w:color="auto" w:fill="auto"/>
            <w:vAlign w:val="center"/>
          </w:tcPr>
          <w:p w14:paraId="49C13C3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90.97</w:t>
            </w:r>
          </w:p>
        </w:tc>
      </w:tr>
      <w:tr w14:paraId="3B1F6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5F2F4CA4">
            <w:pPr>
              <w:spacing w:line="360" w:lineRule="auto"/>
              <w:jc w:val="center"/>
              <w:rPr>
                <w:rFonts w:hint="default"/>
                <w:sz w:val="22"/>
                <w:szCs w:val="22"/>
                <w:highlight w:val="none"/>
                <w:lang w:val="en-US" w:eastAsia="zh-CN"/>
              </w:rPr>
            </w:pPr>
            <w:r>
              <w:rPr>
                <w:rFonts w:hint="eastAsia"/>
                <w:sz w:val="22"/>
                <w:szCs w:val="22"/>
                <w:highlight w:val="none"/>
                <w:lang w:val="en-US" w:eastAsia="zh-CN"/>
              </w:rPr>
              <w:t>40</w:t>
            </w:r>
          </w:p>
        </w:tc>
        <w:tc>
          <w:tcPr>
            <w:tcW w:w="1635" w:type="dxa"/>
            <w:shd w:val="clear" w:color="auto" w:fill="auto"/>
            <w:vAlign w:val="center"/>
          </w:tcPr>
          <w:p w14:paraId="3BB2E25A">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color="auto" w:fill="auto"/>
            <w:vAlign w:val="center"/>
          </w:tcPr>
          <w:p w14:paraId="37E1C89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2022104110120</w:t>
            </w:r>
          </w:p>
        </w:tc>
        <w:tc>
          <w:tcPr>
            <w:tcW w:w="1215" w:type="dxa"/>
            <w:shd w:val="clear" w:color="auto" w:fill="auto"/>
            <w:vAlign w:val="bottom"/>
          </w:tcPr>
          <w:p w14:paraId="42AAD0A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李昕泽</w:t>
            </w:r>
          </w:p>
        </w:tc>
        <w:tc>
          <w:tcPr>
            <w:tcW w:w="7110" w:type="dxa"/>
            <w:shd w:val="clear" w:color="auto" w:fill="auto"/>
            <w:vAlign w:val="center"/>
          </w:tcPr>
          <w:p w14:paraId="2296285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碘造影剂致不良反应的临床特点分析与药学监护实践探究</w:t>
            </w:r>
          </w:p>
        </w:tc>
        <w:tc>
          <w:tcPr>
            <w:tcW w:w="1290" w:type="dxa"/>
            <w:shd w:val="clear" w:color="auto" w:fill="auto"/>
            <w:vAlign w:val="center"/>
          </w:tcPr>
          <w:p w14:paraId="2AF2F07F">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穆怀博</w:t>
            </w:r>
          </w:p>
          <w:p w14:paraId="5B25CCC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薛禾菲</w:t>
            </w:r>
          </w:p>
        </w:tc>
        <w:tc>
          <w:tcPr>
            <w:tcW w:w="870" w:type="dxa"/>
            <w:shd w:val="clear" w:color="auto" w:fill="auto"/>
            <w:vAlign w:val="center"/>
          </w:tcPr>
          <w:p w14:paraId="0F03591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91.70</w:t>
            </w:r>
          </w:p>
        </w:tc>
      </w:tr>
      <w:tr w14:paraId="38EB5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0583622">
            <w:pPr>
              <w:spacing w:line="360" w:lineRule="auto"/>
              <w:jc w:val="center"/>
              <w:rPr>
                <w:rFonts w:hint="default"/>
                <w:sz w:val="22"/>
                <w:szCs w:val="22"/>
                <w:highlight w:val="none"/>
                <w:lang w:val="en-US" w:eastAsia="zh-CN"/>
              </w:rPr>
            </w:pPr>
            <w:r>
              <w:rPr>
                <w:rFonts w:hint="eastAsia"/>
                <w:sz w:val="22"/>
                <w:szCs w:val="22"/>
                <w:highlight w:val="none"/>
                <w:lang w:val="en-US" w:eastAsia="zh-CN"/>
              </w:rPr>
              <w:t>41</w:t>
            </w:r>
          </w:p>
        </w:tc>
        <w:tc>
          <w:tcPr>
            <w:tcW w:w="1635" w:type="dxa"/>
            <w:shd w:val="clear" w:color="auto" w:fill="auto"/>
            <w:vAlign w:val="center"/>
          </w:tcPr>
          <w:p w14:paraId="04DE87C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3FE70B7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2022104010215</w:t>
            </w:r>
          </w:p>
        </w:tc>
        <w:tc>
          <w:tcPr>
            <w:tcW w:w="1215" w:type="dxa"/>
            <w:shd w:val="clear" w:color="auto" w:fill="auto"/>
            <w:vAlign w:val="bottom"/>
          </w:tcPr>
          <w:p w14:paraId="3C6D0AF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杨宝娜</w:t>
            </w:r>
          </w:p>
        </w:tc>
        <w:tc>
          <w:tcPr>
            <w:tcW w:w="7110" w:type="dxa"/>
            <w:shd w:val="clear" w:color="auto" w:fill="auto"/>
            <w:vAlign w:val="center"/>
          </w:tcPr>
          <w:p w14:paraId="1D151B3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基于临床数据分析中药治疗肺癌的用药规律</w:t>
            </w:r>
          </w:p>
        </w:tc>
        <w:tc>
          <w:tcPr>
            <w:tcW w:w="1290" w:type="dxa"/>
            <w:shd w:val="clear" w:color="auto" w:fill="auto"/>
            <w:vAlign w:val="center"/>
          </w:tcPr>
          <w:p w14:paraId="15EEDA56">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吴晓杰</w:t>
            </w:r>
          </w:p>
          <w:p w14:paraId="5BF944E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梁彬彬</w:t>
            </w:r>
          </w:p>
        </w:tc>
        <w:tc>
          <w:tcPr>
            <w:tcW w:w="870" w:type="dxa"/>
            <w:shd w:val="clear" w:color="auto" w:fill="auto"/>
            <w:vAlign w:val="center"/>
          </w:tcPr>
          <w:p w14:paraId="2DC88A9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94.23</w:t>
            </w:r>
          </w:p>
        </w:tc>
      </w:tr>
      <w:tr w14:paraId="6687D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EF183F8">
            <w:pPr>
              <w:spacing w:line="360" w:lineRule="auto"/>
              <w:jc w:val="center"/>
              <w:rPr>
                <w:rFonts w:hint="default"/>
                <w:sz w:val="22"/>
                <w:szCs w:val="22"/>
                <w:highlight w:val="none"/>
                <w:lang w:val="en-US" w:eastAsia="zh-CN"/>
              </w:rPr>
            </w:pPr>
            <w:r>
              <w:rPr>
                <w:rFonts w:hint="eastAsia"/>
                <w:sz w:val="22"/>
                <w:szCs w:val="22"/>
                <w:highlight w:val="none"/>
                <w:lang w:val="en-US" w:eastAsia="zh-CN"/>
              </w:rPr>
              <w:t>42</w:t>
            </w:r>
          </w:p>
        </w:tc>
        <w:tc>
          <w:tcPr>
            <w:tcW w:w="1635" w:type="dxa"/>
            <w:shd w:val="clear" w:color="auto" w:fill="auto"/>
            <w:vAlign w:val="center"/>
          </w:tcPr>
          <w:p w14:paraId="16E1E32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02D514E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2022104010218</w:t>
            </w:r>
          </w:p>
        </w:tc>
        <w:tc>
          <w:tcPr>
            <w:tcW w:w="1215" w:type="dxa"/>
            <w:shd w:val="clear" w:color="auto" w:fill="auto"/>
            <w:vAlign w:val="center"/>
          </w:tcPr>
          <w:p w14:paraId="1E4CE08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滕思琦</w:t>
            </w:r>
          </w:p>
        </w:tc>
        <w:tc>
          <w:tcPr>
            <w:tcW w:w="7110" w:type="dxa"/>
            <w:shd w:val="clear" w:color="auto" w:fill="auto"/>
            <w:vAlign w:val="center"/>
          </w:tcPr>
          <w:p w14:paraId="5D723705">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基于过饱和给药系统的薯蓣皂苷元固体分散体制备工艺研究</w:t>
            </w:r>
          </w:p>
        </w:tc>
        <w:tc>
          <w:tcPr>
            <w:tcW w:w="1290" w:type="dxa"/>
            <w:shd w:val="clear" w:color="auto" w:fill="auto"/>
            <w:vAlign w:val="center"/>
          </w:tcPr>
          <w:p w14:paraId="21B71692">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刘沛</w:t>
            </w:r>
          </w:p>
        </w:tc>
        <w:tc>
          <w:tcPr>
            <w:tcW w:w="870" w:type="dxa"/>
            <w:shd w:val="clear" w:color="auto" w:fill="auto"/>
            <w:vAlign w:val="center"/>
          </w:tcPr>
          <w:p w14:paraId="743A4B2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93.40</w:t>
            </w:r>
          </w:p>
        </w:tc>
      </w:tr>
      <w:tr w14:paraId="1A755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0F941097">
            <w:pPr>
              <w:spacing w:line="360" w:lineRule="auto"/>
              <w:jc w:val="center"/>
              <w:rPr>
                <w:rFonts w:hint="default"/>
                <w:sz w:val="22"/>
                <w:szCs w:val="22"/>
                <w:highlight w:val="none"/>
                <w:lang w:val="en-US" w:eastAsia="zh-CN"/>
              </w:rPr>
            </w:pPr>
            <w:r>
              <w:rPr>
                <w:rFonts w:hint="eastAsia"/>
                <w:sz w:val="22"/>
                <w:szCs w:val="22"/>
                <w:highlight w:val="none"/>
                <w:lang w:val="en-US" w:eastAsia="zh-CN"/>
              </w:rPr>
              <w:t>43</w:t>
            </w:r>
          </w:p>
        </w:tc>
        <w:tc>
          <w:tcPr>
            <w:tcW w:w="1635" w:type="dxa"/>
            <w:shd w:val="clear" w:color="auto" w:fill="auto"/>
            <w:vAlign w:val="center"/>
          </w:tcPr>
          <w:p w14:paraId="46959A6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3203E17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2022104010133</w:t>
            </w:r>
          </w:p>
        </w:tc>
        <w:tc>
          <w:tcPr>
            <w:tcW w:w="1215" w:type="dxa"/>
            <w:shd w:val="clear" w:color="auto" w:fill="auto"/>
            <w:vAlign w:val="center"/>
          </w:tcPr>
          <w:p w14:paraId="1812DAF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李文妍</w:t>
            </w:r>
          </w:p>
        </w:tc>
        <w:tc>
          <w:tcPr>
            <w:tcW w:w="7110" w:type="dxa"/>
            <w:shd w:val="clear" w:color="auto" w:fill="auto"/>
            <w:vAlign w:val="center"/>
          </w:tcPr>
          <w:p w14:paraId="73CE738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短疗程和长疗程抗生素治疗血流感染的有效性和安全性系统评价</w:t>
            </w:r>
          </w:p>
        </w:tc>
        <w:tc>
          <w:tcPr>
            <w:tcW w:w="1290" w:type="dxa"/>
            <w:shd w:val="clear" w:color="auto" w:fill="auto"/>
            <w:vAlign w:val="center"/>
          </w:tcPr>
          <w:p w14:paraId="5BF713E1">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耿帅</w:t>
            </w:r>
          </w:p>
          <w:p w14:paraId="6333AAFE">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马帅</w:t>
            </w:r>
          </w:p>
        </w:tc>
        <w:tc>
          <w:tcPr>
            <w:tcW w:w="870" w:type="dxa"/>
            <w:shd w:val="clear" w:color="auto" w:fill="auto"/>
            <w:vAlign w:val="center"/>
          </w:tcPr>
          <w:p w14:paraId="299FBFD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90.67</w:t>
            </w:r>
          </w:p>
        </w:tc>
      </w:tr>
      <w:tr w14:paraId="503FB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699496A">
            <w:pPr>
              <w:spacing w:line="360" w:lineRule="auto"/>
              <w:jc w:val="center"/>
              <w:rPr>
                <w:rFonts w:hint="default"/>
                <w:sz w:val="22"/>
                <w:szCs w:val="22"/>
                <w:highlight w:val="none"/>
                <w:lang w:val="en-US" w:eastAsia="zh-CN"/>
              </w:rPr>
            </w:pPr>
            <w:r>
              <w:rPr>
                <w:rFonts w:hint="eastAsia"/>
                <w:sz w:val="22"/>
                <w:szCs w:val="22"/>
                <w:highlight w:val="none"/>
                <w:lang w:val="en-US" w:eastAsia="zh-CN"/>
              </w:rPr>
              <w:t>44</w:t>
            </w:r>
          </w:p>
        </w:tc>
        <w:tc>
          <w:tcPr>
            <w:tcW w:w="1635" w:type="dxa"/>
            <w:shd w:val="clear" w:color="auto" w:fill="auto"/>
            <w:vAlign w:val="center"/>
          </w:tcPr>
          <w:p w14:paraId="12BE9364">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3E26ABB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2022104010139</w:t>
            </w:r>
          </w:p>
        </w:tc>
        <w:tc>
          <w:tcPr>
            <w:tcW w:w="1215" w:type="dxa"/>
            <w:shd w:val="clear" w:color="auto" w:fill="auto"/>
            <w:vAlign w:val="center"/>
          </w:tcPr>
          <w:p w14:paraId="643FD06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高淑婷</w:t>
            </w:r>
          </w:p>
        </w:tc>
        <w:tc>
          <w:tcPr>
            <w:tcW w:w="7110" w:type="dxa"/>
            <w:shd w:val="clear" w:color="auto" w:fill="auto"/>
            <w:vAlign w:val="center"/>
          </w:tcPr>
          <w:p w14:paraId="0671B7A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基于CiteSpace的吡非尼酮抗纤维化作用研究热点与可视化分析</w:t>
            </w:r>
          </w:p>
        </w:tc>
        <w:tc>
          <w:tcPr>
            <w:tcW w:w="1290" w:type="dxa"/>
            <w:shd w:val="clear" w:color="auto" w:fill="auto"/>
            <w:vAlign w:val="center"/>
          </w:tcPr>
          <w:p w14:paraId="00E3C4A2">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霍伟敏</w:t>
            </w:r>
          </w:p>
          <w:p w14:paraId="0B94AA1B">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胡楠</w:t>
            </w:r>
          </w:p>
        </w:tc>
        <w:tc>
          <w:tcPr>
            <w:tcW w:w="870" w:type="dxa"/>
            <w:shd w:val="clear" w:color="auto" w:fill="auto"/>
            <w:vAlign w:val="center"/>
          </w:tcPr>
          <w:p w14:paraId="1A1AF55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90.43</w:t>
            </w:r>
          </w:p>
        </w:tc>
      </w:tr>
      <w:tr w14:paraId="1EFE7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8A15C5C">
            <w:pPr>
              <w:spacing w:line="360" w:lineRule="auto"/>
              <w:jc w:val="center"/>
              <w:rPr>
                <w:rFonts w:hint="default"/>
                <w:sz w:val="22"/>
                <w:szCs w:val="22"/>
                <w:highlight w:val="none"/>
                <w:lang w:val="en-US" w:eastAsia="zh-CN"/>
              </w:rPr>
            </w:pPr>
            <w:r>
              <w:rPr>
                <w:rFonts w:hint="eastAsia"/>
                <w:sz w:val="22"/>
                <w:szCs w:val="22"/>
                <w:highlight w:val="none"/>
                <w:lang w:val="en-US" w:eastAsia="zh-CN"/>
              </w:rPr>
              <w:t>45</w:t>
            </w:r>
          </w:p>
        </w:tc>
        <w:tc>
          <w:tcPr>
            <w:tcW w:w="1635" w:type="dxa"/>
            <w:shd w:val="clear" w:color="auto" w:fill="auto"/>
            <w:vAlign w:val="center"/>
          </w:tcPr>
          <w:p w14:paraId="6FCA3FCA">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药学</w:t>
            </w:r>
          </w:p>
        </w:tc>
        <w:tc>
          <w:tcPr>
            <w:tcW w:w="1650" w:type="dxa"/>
            <w:shd w:val="clear" w:color="auto" w:fill="auto"/>
            <w:vAlign w:val="center"/>
          </w:tcPr>
          <w:p w14:paraId="548CF7BD">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2022104110113</w:t>
            </w:r>
          </w:p>
        </w:tc>
        <w:tc>
          <w:tcPr>
            <w:tcW w:w="1215" w:type="dxa"/>
            <w:shd w:val="clear" w:color="auto" w:fill="auto"/>
            <w:vAlign w:val="center"/>
          </w:tcPr>
          <w:p w14:paraId="25063FE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孙永真</w:t>
            </w:r>
          </w:p>
        </w:tc>
        <w:tc>
          <w:tcPr>
            <w:tcW w:w="7110" w:type="dxa"/>
            <w:shd w:val="clear" w:color="auto" w:fill="auto"/>
            <w:vAlign w:val="center"/>
          </w:tcPr>
          <w:p w14:paraId="3FD8D1A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基于生物信息学探究丹参干预以63岁为界的不同年龄人群颈动脉粥样硬化的潜在作用机制</w:t>
            </w:r>
          </w:p>
        </w:tc>
        <w:tc>
          <w:tcPr>
            <w:tcW w:w="1290" w:type="dxa"/>
            <w:shd w:val="clear" w:color="auto" w:fill="auto"/>
            <w:vAlign w:val="center"/>
          </w:tcPr>
          <w:p w14:paraId="38B4D1EA">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曹宇</w:t>
            </w:r>
          </w:p>
        </w:tc>
        <w:tc>
          <w:tcPr>
            <w:tcW w:w="870" w:type="dxa"/>
            <w:shd w:val="clear" w:color="auto" w:fill="auto"/>
            <w:vAlign w:val="center"/>
          </w:tcPr>
          <w:p w14:paraId="23842B47">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91.03</w:t>
            </w:r>
          </w:p>
        </w:tc>
      </w:tr>
      <w:tr w14:paraId="34DA9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1075EFF6">
            <w:pPr>
              <w:spacing w:line="360" w:lineRule="auto"/>
              <w:jc w:val="center"/>
              <w:rPr>
                <w:rFonts w:hint="default"/>
                <w:sz w:val="22"/>
                <w:szCs w:val="22"/>
                <w:highlight w:val="none"/>
                <w:lang w:val="en-US" w:eastAsia="zh-CN"/>
              </w:rPr>
            </w:pPr>
            <w:r>
              <w:rPr>
                <w:rFonts w:hint="eastAsia"/>
                <w:sz w:val="22"/>
                <w:szCs w:val="22"/>
                <w:highlight w:val="none"/>
                <w:lang w:val="en-US" w:eastAsia="zh-CN"/>
              </w:rPr>
              <w:t>46</w:t>
            </w:r>
          </w:p>
        </w:tc>
        <w:tc>
          <w:tcPr>
            <w:tcW w:w="1635" w:type="dxa"/>
            <w:shd w:val="clear" w:color="auto" w:fill="auto"/>
            <w:vAlign w:val="center"/>
          </w:tcPr>
          <w:p w14:paraId="3F24972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2C7DD990">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2022104010236</w:t>
            </w:r>
          </w:p>
        </w:tc>
        <w:tc>
          <w:tcPr>
            <w:tcW w:w="1215" w:type="dxa"/>
            <w:shd w:val="clear" w:color="auto" w:fill="auto"/>
            <w:vAlign w:val="center"/>
          </w:tcPr>
          <w:p w14:paraId="7D53174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徐凯悦</w:t>
            </w:r>
          </w:p>
        </w:tc>
        <w:tc>
          <w:tcPr>
            <w:tcW w:w="7110" w:type="dxa"/>
            <w:shd w:val="clear" w:color="auto" w:fill="auto"/>
            <w:vAlign w:val="center"/>
          </w:tcPr>
          <w:p w14:paraId="2589072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复方丹参滴丸联合厄贝沙坦氢氯噻嗪片治疗原发性高血压的临床疗效分析</w:t>
            </w:r>
          </w:p>
        </w:tc>
        <w:tc>
          <w:tcPr>
            <w:tcW w:w="1290" w:type="dxa"/>
            <w:shd w:val="clear" w:color="auto" w:fill="auto"/>
            <w:vAlign w:val="center"/>
          </w:tcPr>
          <w:p w14:paraId="6D325A59">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宋雨泽</w:t>
            </w:r>
          </w:p>
          <w:p w14:paraId="02DDD6A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李艳荣</w:t>
            </w:r>
          </w:p>
        </w:tc>
        <w:tc>
          <w:tcPr>
            <w:tcW w:w="870" w:type="dxa"/>
            <w:shd w:val="clear" w:color="auto" w:fill="auto"/>
            <w:vAlign w:val="center"/>
          </w:tcPr>
          <w:p w14:paraId="30EB95FC">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92.87</w:t>
            </w:r>
          </w:p>
        </w:tc>
      </w:tr>
      <w:tr w14:paraId="4D9C7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06DBC301">
            <w:pPr>
              <w:spacing w:line="360" w:lineRule="auto"/>
              <w:jc w:val="center"/>
              <w:rPr>
                <w:rFonts w:hint="default"/>
                <w:sz w:val="22"/>
                <w:szCs w:val="22"/>
                <w:highlight w:val="none"/>
                <w:lang w:val="en-US" w:eastAsia="zh-CN"/>
              </w:rPr>
            </w:pPr>
            <w:r>
              <w:rPr>
                <w:rFonts w:hint="eastAsia"/>
                <w:sz w:val="22"/>
                <w:szCs w:val="22"/>
                <w:highlight w:val="none"/>
                <w:lang w:val="en-US" w:eastAsia="zh-CN"/>
              </w:rPr>
              <w:t>47</w:t>
            </w:r>
          </w:p>
        </w:tc>
        <w:tc>
          <w:tcPr>
            <w:tcW w:w="1635" w:type="dxa"/>
            <w:shd w:val="clear" w:color="auto" w:fill="auto"/>
            <w:vAlign w:val="center"/>
          </w:tcPr>
          <w:p w14:paraId="0B0895C3">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7C8F45D9">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2022104010231</w:t>
            </w:r>
          </w:p>
        </w:tc>
        <w:tc>
          <w:tcPr>
            <w:tcW w:w="1215" w:type="dxa"/>
            <w:shd w:val="clear" w:color="auto" w:fill="auto"/>
            <w:vAlign w:val="center"/>
          </w:tcPr>
          <w:p w14:paraId="43789F32">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程琳博</w:t>
            </w:r>
          </w:p>
        </w:tc>
        <w:tc>
          <w:tcPr>
            <w:tcW w:w="7110" w:type="dxa"/>
            <w:shd w:val="clear" w:color="auto" w:fill="auto"/>
            <w:vAlign w:val="center"/>
          </w:tcPr>
          <w:p w14:paraId="499CDB9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薯蓣皂苷元纳米固体分散体对AD模型大鼠AChE、Aβ25-35、p-Tau的影响研究</w:t>
            </w:r>
          </w:p>
        </w:tc>
        <w:tc>
          <w:tcPr>
            <w:tcW w:w="1290" w:type="dxa"/>
            <w:shd w:val="clear" w:color="auto" w:fill="auto"/>
            <w:vAlign w:val="center"/>
          </w:tcPr>
          <w:p w14:paraId="50103A16">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周剑宇</w:t>
            </w:r>
          </w:p>
        </w:tc>
        <w:tc>
          <w:tcPr>
            <w:tcW w:w="870" w:type="dxa"/>
            <w:shd w:val="clear" w:color="auto" w:fill="auto"/>
            <w:vAlign w:val="center"/>
          </w:tcPr>
          <w:p w14:paraId="27BD6AD7">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92.03</w:t>
            </w:r>
          </w:p>
        </w:tc>
      </w:tr>
      <w:tr w14:paraId="26623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vAlign w:val="center"/>
          </w:tcPr>
          <w:p w14:paraId="6257B02B">
            <w:pPr>
              <w:spacing w:line="360" w:lineRule="auto"/>
              <w:jc w:val="center"/>
              <w:rPr>
                <w:rFonts w:hint="default"/>
                <w:sz w:val="22"/>
                <w:szCs w:val="22"/>
                <w:highlight w:val="none"/>
                <w:lang w:val="en-US" w:eastAsia="zh-CN"/>
              </w:rPr>
            </w:pPr>
            <w:r>
              <w:rPr>
                <w:rFonts w:hint="eastAsia"/>
                <w:sz w:val="22"/>
                <w:szCs w:val="22"/>
                <w:highlight w:val="none"/>
                <w:lang w:val="en-US" w:eastAsia="zh-CN"/>
              </w:rPr>
              <w:t>48</w:t>
            </w:r>
          </w:p>
        </w:tc>
        <w:tc>
          <w:tcPr>
            <w:tcW w:w="1635" w:type="dxa"/>
            <w:shd w:val="clear" w:color="auto" w:fill="auto"/>
            <w:vAlign w:val="center"/>
          </w:tcPr>
          <w:p w14:paraId="3ED8C901">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中药学</w:t>
            </w:r>
          </w:p>
        </w:tc>
        <w:tc>
          <w:tcPr>
            <w:tcW w:w="1650" w:type="dxa"/>
            <w:shd w:val="clear" w:color="auto" w:fill="auto"/>
            <w:vAlign w:val="center"/>
          </w:tcPr>
          <w:p w14:paraId="36A27438">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2022104010130</w:t>
            </w:r>
          </w:p>
        </w:tc>
        <w:tc>
          <w:tcPr>
            <w:tcW w:w="1215" w:type="dxa"/>
            <w:shd w:val="clear" w:color="auto" w:fill="auto"/>
            <w:vAlign w:val="center"/>
          </w:tcPr>
          <w:p w14:paraId="1A052455">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李畅</w:t>
            </w:r>
          </w:p>
        </w:tc>
        <w:tc>
          <w:tcPr>
            <w:tcW w:w="7110" w:type="dxa"/>
            <w:shd w:val="clear" w:color="auto" w:fill="auto"/>
            <w:vAlign w:val="center"/>
          </w:tcPr>
          <w:p w14:paraId="034791EF">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中草药治疗失眠的可视化分析</w:t>
            </w:r>
          </w:p>
        </w:tc>
        <w:tc>
          <w:tcPr>
            <w:tcW w:w="1290" w:type="dxa"/>
            <w:shd w:val="clear" w:color="auto" w:fill="auto"/>
            <w:vAlign w:val="center"/>
          </w:tcPr>
          <w:p w14:paraId="78AF84AF">
            <w:pPr>
              <w:keepNext w:val="0"/>
              <w:keepLines w:val="0"/>
              <w:widowControl/>
              <w:suppressLineNumbers w:val="0"/>
              <w:jc w:val="center"/>
              <w:textAlignment w:val="center"/>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才可新</w:t>
            </w:r>
          </w:p>
          <w:p w14:paraId="685FC825">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李松涛</w:t>
            </w:r>
          </w:p>
        </w:tc>
        <w:tc>
          <w:tcPr>
            <w:tcW w:w="870" w:type="dxa"/>
            <w:shd w:val="clear" w:color="auto" w:fill="auto"/>
            <w:vAlign w:val="center"/>
          </w:tcPr>
          <w:p w14:paraId="65F2536B">
            <w:pPr>
              <w:keepNext w:val="0"/>
              <w:keepLines w:val="0"/>
              <w:widowControl/>
              <w:suppressLineNumbers w:val="0"/>
              <w:jc w:val="center"/>
              <w:textAlignment w:val="center"/>
              <w:rPr>
                <w:rFonts w:hint="default" w:ascii="宋体" w:hAnsi="宋体" w:eastAsia="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92.17</w:t>
            </w:r>
          </w:p>
        </w:tc>
      </w:tr>
    </w:tbl>
    <w:p w14:paraId="19AF13D2">
      <w:pPr>
        <w:rPr>
          <w:sz w:val="22"/>
          <w:szCs w:val="22"/>
        </w:rPr>
      </w:pPr>
    </w:p>
    <w:sectPr>
      <w:pgSz w:w="16838" w:h="11906" w:orient="landscape"/>
      <w:pgMar w:top="1417" w:right="850" w:bottom="1803" w:left="1134"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D0614"/>
    <w:rsid w:val="05AE092A"/>
    <w:rsid w:val="05E10BE5"/>
    <w:rsid w:val="07BE62CF"/>
    <w:rsid w:val="196A76A5"/>
    <w:rsid w:val="2D105B5A"/>
    <w:rsid w:val="2F34560E"/>
    <w:rsid w:val="3D853DBD"/>
    <w:rsid w:val="40D6429F"/>
    <w:rsid w:val="445D0614"/>
    <w:rsid w:val="4639153B"/>
    <w:rsid w:val="53AE3108"/>
    <w:rsid w:val="54943E52"/>
    <w:rsid w:val="55674E7D"/>
    <w:rsid w:val="60E57E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4</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2026-06-29T01:12:00Z</dcterms:created>
  <dc:creator>舒克</dc:creator>
  <cp:lastModifiedBy>舒克</cp:lastModifiedBy>
  <dcterms:modified xsi:type="dcterms:W3CDTF">2026-06-29T01:59:50Z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19F1D8E73A304055A6EB14AFFC3014CB_11</vt:lpwstr>
  </property>
  <property fmtid="{D5CDD505-2E9C-101B-9397-08002B2CF9AE}" pid="4" name="KSOTemplateDocerSaveRecord">
    <vt:lpwstr>eyJoZGlkIjoiYmQwMjAyNDlkZTJiZDU3MTU0OWEwMjA0MzFmNTZhYzEiLCJ1c2VySWQiOiIyNzQ3MjQ1OTYifQ==</vt:lpwstr>
  </property>
</Properties>
</file>