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62" w:firstLineChars="100"/>
        <w:jc w:val="center"/>
        <w:rPr>
          <w:rFonts w:hint="eastAsia" w:ascii="宋体" w:hAnsi="宋体"/>
          <w:b/>
          <w:sz w:val="56"/>
          <w:szCs w:val="52"/>
        </w:rPr>
      </w:pPr>
      <w:bookmarkStart w:id="0" w:name="_Toc4070"/>
      <w:r>
        <w:rPr>
          <w:rFonts w:ascii="宋体" w:hAnsi="宋体"/>
          <w:b/>
          <w:sz w:val="56"/>
          <w:szCs w:val="52"/>
        </w:rPr>
        <w:drawing>
          <wp:inline distT="0" distB="0" distL="114300" distR="114300">
            <wp:extent cx="3181350" cy="1009650"/>
            <wp:effectExtent l="0" t="0" r="19050" b="6350"/>
            <wp:docPr id="1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2" w:firstLineChars="100"/>
        <w:rPr>
          <w:rFonts w:ascii="宋体" w:hAnsi="宋体"/>
          <w:b/>
          <w:sz w:val="56"/>
          <w:szCs w:val="52"/>
        </w:rPr>
      </w:pPr>
      <w:r>
        <w:rPr>
          <w:rFonts w:hint="eastAsia" w:ascii="宋体" w:hAnsi="宋体"/>
          <w:b/>
          <w:sz w:val="56"/>
          <w:szCs w:val="52"/>
        </w:rPr>
        <w:t>维普毕业</w:t>
      </w:r>
      <w:r>
        <w:rPr>
          <w:rFonts w:hint="eastAsia" w:ascii="宋体" w:hAnsi="宋体"/>
          <w:b/>
          <w:sz w:val="56"/>
          <w:szCs w:val="52"/>
          <w:lang w:val="en-US" w:eastAsia="zh-CN"/>
        </w:rPr>
        <w:t>论文</w:t>
      </w:r>
      <w:r>
        <w:rPr>
          <w:rFonts w:hint="eastAsia" w:ascii="宋体" w:hAnsi="宋体"/>
          <w:b/>
          <w:sz w:val="56"/>
          <w:szCs w:val="52"/>
        </w:rPr>
        <w:t>（</w:t>
      </w:r>
      <w:r>
        <w:rPr>
          <w:rFonts w:hint="eastAsia" w:ascii="宋体" w:hAnsi="宋体"/>
          <w:b/>
          <w:sz w:val="56"/>
          <w:szCs w:val="52"/>
          <w:lang w:val="en-US" w:eastAsia="zh-CN"/>
        </w:rPr>
        <w:t>设计</w:t>
      </w:r>
      <w:r>
        <w:rPr>
          <w:rFonts w:hint="eastAsia" w:ascii="宋体" w:hAnsi="宋体"/>
          <w:b/>
          <w:sz w:val="56"/>
          <w:szCs w:val="52"/>
        </w:rPr>
        <w:t>）管理系统</w:t>
      </w: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jc w:val="center"/>
        <w:outlineLvl w:val="0"/>
        <w:rPr>
          <w:rFonts w:ascii="宋体" w:hAnsi="宋体"/>
          <w:b/>
          <w:sz w:val="56"/>
          <w:szCs w:val="52"/>
        </w:rPr>
      </w:pPr>
      <w:bookmarkStart w:id="1" w:name="_Toc1287"/>
      <w:r>
        <w:rPr>
          <w:rFonts w:hint="eastAsia" w:ascii="宋体" w:hAnsi="宋体"/>
          <w:b/>
          <w:sz w:val="56"/>
          <w:szCs w:val="52"/>
        </w:rPr>
        <w:t>用户操作手册</w:t>
      </w:r>
      <w:bookmarkEnd w:id="1"/>
    </w:p>
    <w:p>
      <w:pPr>
        <w:jc w:val="center"/>
        <w:rPr>
          <w:rFonts w:ascii="宋体" w:hAnsi="宋体"/>
          <w:b/>
          <w:sz w:val="48"/>
          <w:szCs w:val="52"/>
        </w:rPr>
      </w:pPr>
      <w:r>
        <w:rPr>
          <w:rFonts w:hint="eastAsia" w:ascii="宋体" w:hAnsi="宋体"/>
          <w:b/>
          <w:sz w:val="48"/>
          <w:szCs w:val="52"/>
        </w:rPr>
        <w:t>（</w:t>
      </w:r>
      <w:r>
        <w:rPr>
          <w:rFonts w:hint="eastAsia" w:ascii="宋体" w:hAnsi="宋体"/>
          <w:b/>
          <w:sz w:val="48"/>
          <w:szCs w:val="52"/>
          <w:lang w:val="en-US" w:eastAsia="zh-CN"/>
        </w:rPr>
        <w:t>指导教师</w:t>
      </w:r>
      <w:r>
        <w:rPr>
          <w:rFonts w:ascii="宋体" w:hAnsi="宋体"/>
          <w:b/>
          <w:sz w:val="48"/>
          <w:u w:color="auto"/>
        </w:rPr>
        <w:t>角色</w:t>
      </w:r>
      <w:r>
        <w:rPr>
          <w:rFonts w:hint="eastAsia" w:ascii="宋体" w:hAnsi="宋体"/>
          <w:b/>
          <w:sz w:val="48"/>
          <w:szCs w:val="52"/>
        </w:rPr>
        <w:t>）</w:t>
      </w: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jc w:val="center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重庆泛语科技有限公司</w:t>
      </w:r>
    </w:p>
    <w:p>
      <w:pPr>
        <w:jc w:val="center"/>
        <w:rPr>
          <w:rFonts w:hint="default" w:ascii="宋体" w:hAnsi="宋体" w:eastAsia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>二〇二四年五月</w:t>
      </w:r>
    </w:p>
    <w:p>
      <w:pPr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br w:type="page"/>
      </w:r>
    </w:p>
    <w:p>
      <w:pPr>
        <w:bidi w:val="0"/>
        <w:jc w:val="center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目 录</w:t>
      </w:r>
    </w:p>
    <w:p>
      <w:pPr>
        <w:pStyle w:val="9"/>
        <w:tabs>
          <w:tab w:val="right" w:leader="dot" w:pos="8306"/>
        </w:tabs>
      </w:pPr>
      <w:r>
        <w:fldChar w:fldCharType="begin"/>
      </w:r>
      <w:r>
        <w:instrText xml:space="preserve">TOC \o</w:instrText>
      </w:r>
      <w:r>
        <w:fldChar w:fldCharType="separate"/>
      </w:r>
      <w:r>
        <w:rPr>
          <w:rFonts w:hint="default"/>
        </w:rPr>
        <w:t xml:space="preserve">一、 </w:t>
      </w:r>
      <w:r>
        <w:rPr>
          <w:rFonts w:hint="eastAsia"/>
        </w:rPr>
        <w:t>系统登录</w:t>
      </w:r>
      <w:r>
        <w:tab/>
      </w:r>
      <w:r>
        <w:fldChar w:fldCharType="begin"/>
      </w:r>
      <w:r>
        <w:instrText xml:space="preserve"> PAGEREF _Toc1543723785 \h </w:instrText>
      </w:r>
      <w:r>
        <w:fldChar w:fldCharType="separate"/>
      </w:r>
      <w:r>
        <w:t>4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default"/>
        </w:rPr>
        <w:t xml:space="preserve">二、 </w:t>
      </w:r>
      <w:r>
        <w:rPr>
          <w:rFonts w:hint="eastAsia"/>
        </w:rPr>
        <w:t>个人设置</w:t>
      </w:r>
      <w:r>
        <w:tab/>
      </w:r>
      <w:r>
        <w:fldChar w:fldCharType="begin"/>
      </w:r>
      <w:r>
        <w:instrText xml:space="preserve"> PAGEREF _Toc1615715088 \h </w:instrText>
      </w:r>
      <w:r>
        <w:fldChar w:fldCharType="separate"/>
      </w:r>
      <w:r>
        <w:t>4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1、个人信息</w:t>
      </w:r>
      <w:r>
        <w:tab/>
      </w:r>
      <w:r>
        <w:fldChar w:fldCharType="begin"/>
      </w:r>
      <w:r>
        <w:instrText xml:space="preserve"> PAGEREF _Toc392767701 \h </w:instrText>
      </w:r>
      <w:r>
        <w:fldChar w:fldCharType="separate"/>
      </w:r>
      <w:r>
        <w:t>4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2、安全中心</w:t>
      </w:r>
      <w:r>
        <w:tab/>
      </w:r>
      <w:r>
        <w:fldChar w:fldCharType="begin"/>
      </w:r>
      <w:r>
        <w:instrText xml:space="preserve"> PAGEREF _Toc2029503476 \h </w:instrText>
      </w:r>
      <w:r>
        <w:fldChar w:fldCharType="separate"/>
      </w:r>
      <w:r>
        <w:t>5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default" w:ascii="Calibri" w:hAnsi="Calibri" w:eastAsia="宋体" w:cs="Times New Roman"/>
          <w:lang w:val="en-US" w:eastAsia="zh-CN"/>
        </w:rPr>
        <w:t xml:space="preserve">三、 </w:t>
      </w:r>
      <w:r>
        <w:rPr>
          <w:rFonts w:hint="eastAsia" w:ascii="Calibri" w:hAnsi="Calibri" w:eastAsia="宋体" w:cs="Times New Roman"/>
          <w:lang w:val="en-US" w:eastAsia="zh-CN"/>
        </w:rPr>
        <w:t>系统主流程及操作方法</w:t>
      </w:r>
      <w:r>
        <w:tab/>
      </w:r>
      <w:r>
        <w:fldChar w:fldCharType="begin"/>
      </w:r>
      <w:r>
        <w:instrText xml:space="preserve"> PAGEREF _Toc1382155831 \h </w:instrText>
      </w:r>
      <w:r>
        <w:fldChar w:fldCharType="separate"/>
      </w:r>
      <w:r>
        <w:t>7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u w:color="auto"/>
        </w:rPr>
        <w:t>1.选题管理</w:t>
      </w:r>
      <w:r>
        <w:tab/>
      </w:r>
      <w:r>
        <w:fldChar w:fldCharType="begin"/>
      </w:r>
      <w:r>
        <w:instrText xml:space="preserve"> PAGEREF _Toc562442018 \h </w:instrText>
      </w:r>
      <w:r>
        <w:fldChar w:fldCharType="separate"/>
      </w:r>
      <w:r>
        <w:t>7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1.1课题</w:t>
      </w:r>
      <w:r>
        <w:tab/>
      </w:r>
      <w:r>
        <w:fldChar w:fldCharType="begin"/>
      </w:r>
      <w:r>
        <w:instrText xml:space="preserve"> PAGEREF _Toc1887466079 \h </w:instrText>
      </w:r>
      <w:r>
        <w:fldChar w:fldCharType="separate"/>
      </w:r>
      <w:r>
        <w:t>7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1.1.1申报课题</w:t>
      </w:r>
      <w:r>
        <w:tab/>
      </w:r>
      <w:r>
        <w:fldChar w:fldCharType="begin"/>
      </w:r>
      <w:r>
        <w:instrText xml:space="preserve"> PAGEREF _Toc13956269 \h </w:instrText>
      </w:r>
      <w:r>
        <w:fldChar w:fldCharType="separate"/>
      </w:r>
      <w:r>
        <w:t>7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1.2选题</w:t>
      </w:r>
      <w:r>
        <w:tab/>
      </w:r>
      <w:r>
        <w:fldChar w:fldCharType="begin"/>
      </w:r>
      <w:r>
        <w:instrText xml:space="preserve"> PAGEREF _Toc487295560 \h </w:instrText>
      </w:r>
      <w:r>
        <w:fldChar w:fldCharType="separate"/>
      </w:r>
      <w:r>
        <w:t>8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1.2.1审核选题</w:t>
      </w:r>
      <w:r>
        <w:tab/>
      </w:r>
      <w:r>
        <w:fldChar w:fldCharType="begin"/>
      </w:r>
      <w:r>
        <w:instrText xml:space="preserve"> PAGEREF _Toc1621330909 \h </w:instrText>
      </w:r>
      <w:r>
        <w:fldChar w:fldCharType="separate"/>
      </w:r>
      <w:r>
        <w:t>8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1.3课题信息变更</w:t>
      </w:r>
      <w:r>
        <w:tab/>
      </w:r>
      <w:r>
        <w:fldChar w:fldCharType="begin"/>
      </w:r>
      <w:r>
        <w:instrText xml:space="preserve"> PAGEREF _Toc288590780 \h </w:instrText>
      </w:r>
      <w:r>
        <w:fldChar w:fldCharType="separate"/>
      </w:r>
      <w:r>
        <w:t>9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1.3.1审核课题信息变更</w:t>
      </w:r>
      <w:r>
        <w:tab/>
      </w:r>
      <w:r>
        <w:fldChar w:fldCharType="begin"/>
      </w:r>
      <w:r>
        <w:instrText xml:space="preserve"> PAGEREF _Toc1327164534 \h </w:instrText>
      </w:r>
      <w:r>
        <w:fldChar w:fldCharType="separate"/>
      </w:r>
      <w:r>
        <w:t>9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u w:color="auto"/>
        </w:rPr>
        <w:t>2.过程管理</w:t>
      </w:r>
      <w:r>
        <w:tab/>
      </w:r>
      <w:r>
        <w:fldChar w:fldCharType="begin"/>
      </w:r>
      <w:r>
        <w:instrText xml:space="preserve"> PAGEREF _Toc1889165196 \h </w:instrText>
      </w:r>
      <w:r>
        <w:fldChar w:fldCharType="separate"/>
      </w:r>
      <w:r>
        <w:t>11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2.1开题报告</w:t>
      </w:r>
      <w:r>
        <w:tab/>
      </w:r>
      <w:r>
        <w:fldChar w:fldCharType="begin"/>
      </w:r>
      <w:r>
        <w:instrText xml:space="preserve"> PAGEREF _Toc653728277 \h </w:instrText>
      </w:r>
      <w:r>
        <w:fldChar w:fldCharType="separate"/>
      </w:r>
      <w:r>
        <w:t>11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2.1.1审核开题报告</w:t>
      </w:r>
      <w:r>
        <w:tab/>
      </w:r>
      <w:r>
        <w:fldChar w:fldCharType="begin"/>
      </w:r>
      <w:r>
        <w:instrText xml:space="preserve"> PAGEREF _Toc684813487 \h </w:instrText>
      </w:r>
      <w:r>
        <w:fldChar w:fldCharType="separate"/>
      </w:r>
      <w:r>
        <w:t>11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2.2初稿</w:t>
      </w:r>
      <w:r>
        <w:tab/>
      </w:r>
      <w:r>
        <w:fldChar w:fldCharType="begin"/>
      </w:r>
      <w:r>
        <w:instrText xml:space="preserve"> PAGEREF _Toc1295411736 \h </w:instrText>
      </w:r>
      <w:r>
        <w:fldChar w:fldCharType="separate"/>
      </w:r>
      <w:r>
        <w:t>12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2.2.1审核初稿</w:t>
      </w:r>
      <w:r>
        <w:tab/>
      </w:r>
      <w:r>
        <w:fldChar w:fldCharType="begin"/>
      </w:r>
      <w:r>
        <w:instrText xml:space="preserve"> PAGEREF _Toc795833666 \h </w:instrText>
      </w:r>
      <w:r>
        <w:fldChar w:fldCharType="separate"/>
      </w:r>
      <w:r>
        <w:t>12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2.3定稿</w:t>
      </w:r>
      <w:r>
        <w:tab/>
      </w:r>
      <w:r>
        <w:fldChar w:fldCharType="begin"/>
      </w:r>
      <w:r>
        <w:instrText xml:space="preserve"> PAGEREF _Toc1048270946 \h </w:instrText>
      </w:r>
      <w:r>
        <w:fldChar w:fldCharType="separate"/>
      </w:r>
      <w:r>
        <w:t>13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2.3.1审核定稿</w:t>
      </w:r>
      <w:r>
        <w:tab/>
      </w:r>
      <w:r>
        <w:fldChar w:fldCharType="begin"/>
      </w:r>
      <w:r>
        <w:instrText xml:space="preserve"> PAGEREF _Toc333949434 \h </w:instrText>
      </w:r>
      <w:r>
        <w:fldChar w:fldCharType="separate"/>
      </w:r>
      <w:r>
        <w:t>13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2.4指导日志</w:t>
      </w:r>
      <w:r>
        <w:tab/>
      </w:r>
      <w:r>
        <w:fldChar w:fldCharType="begin"/>
      </w:r>
      <w:r>
        <w:instrText xml:space="preserve"> PAGEREF _Toc1313367627 \h </w:instrText>
      </w:r>
      <w:r>
        <w:fldChar w:fldCharType="separate"/>
      </w:r>
      <w:r>
        <w:t>15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2.4.1审核指导日志</w:t>
      </w:r>
      <w:r>
        <w:tab/>
      </w:r>
      <w:r>
        <w:fldChar w:fldCharType="begin"/>
      </w:r>
      <w:r>
        <w:instrText xml:space="preserve"> PAGEREF _Toc1932783123 \h </w:instrText>
      </w:r>
      <w:r>
        <w:fldChar w:fldCharType="separate"/>
      </w:r>
      <w:r>
        <w:t>15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u w:color="auto"/>
        </w:rPr>
        <w:t>3.评分管理</w:t>
      </w:r>
      <w:r>
        <w:tab/>
      </w:r>
      <w:r>
        <w:fldChar w:fldCharType="begin"/>
      </w:r>
      <w:r>
        <w:instrText xml:space="preserve"> PAGEREF _Toc1448303739 \h </w:instrText>
      </w:r>
      <w:r>
        <w:fldChar w:fldCharType="separate"/>
      </w:r>
      <w:r>
        <w:t>15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3.1指导教师评分</w:t>
      </w:r>
      <w:r>
        <w:tab/>
      </w:r>
      <w:r>
        <w:fldChar w:fldCharType="begin"/>
      </w:r>
      <w:r>
        <w:instrText xml:space="preserve"> PAGEREF _Toc2061286275 \h </w:instrText>
      </w:r>
      <w:r>
        <w:fldChar w:fldCharType="separate"/>
      </w:r>
      <w:r>
        <w:t>15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3.1.1评分</w:t>
      </w:r>
      <w:r>
        <w:tab/>
      </w:r>
      <w:r>
        <w:fldChar w:fldCharType="begin"/>
      </w:r>
      <w:r>
        <w:instrText xml:space="preserve"> PAGEREF _Toc832230521 \h </w:instrText>
      </w:r>
      <w:r>
        <w:fldChar w:fldCharType="separate"/>
      </w:r>
      <w:r>
        <w:t>15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u w:color="auto"/>
        </w:rPr>
        <w:t>4.最终稿</w:t>
      </w:r>
      <w:r>
        <w:tab/>
      </w:r>
      <w:r>
        <w:fldChar w:fldCharType="begin"/>
      </w:r>
      <w:r>
        <w:instrText xml:space="preserve"> PAGEREF _Toc737373536 \h </w:instrText>
      </w:r>
      <w:r>
        <w:fldChar w:fldCharType="separate"/>
      </w:r>
      <w:r>
        <w:t>17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4.1最终稿</w:t>
      </w:r>
      <w:r>
        <w:tab/>
      </w:r>
      <w:r>
        <w:fldChar w:fldCharType="begin"/>
      </w:r>
      <w:r>
        <w:instrText xml:space="preserve"> PAGEREF _Toc2056376362 \h </w:instrText>
      </w:r>
      <w:r>
        <w:fldChar w:fldCharType="separate"/>
      </w:r>
      <w:r>
        <w:t>17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4.1.1审核最终稿</w:t>
      </w:r>
      <w:r>
        <w:tab/>
      </w:r>
      <w:r>
        <w:fldChar w:fldCharType="begin"/>
      </w:r>
      <w:r>
        <w:instrText xml:space="preserve"> PAGEREF _Toc2063184963 \h </w:instrText>
      </w:r>
      <w:r>
        <w:fldChar w:fldCharType="separate"/>
      </w:r>
      <w:r>
        <w:t>17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eastAsia" w:cs="Times New Roman"/>
          <w:lang w:val="en-US" w:eastAsia="zh-CN"/>
        </w:rPr>
        <w:t>四</w:t>
      </w:r>
      <w:r>
        <w:rPr>
          <w:rFonts w:hint="eastAsia" w:ascii="Calibri" w:hAnsi="Calibri" w:eastAsia="宋体" w:cs="Times New Roman"/>
          <w:lang w:val="en-US" w:eastAsia="zh-CN"/>
        </w:rPr>
        <w:t>、下载中心</w:t>
      </w:r>
      <w:r>
        <w:tab/>
      </w:r>
      <w:r>
        <w:fldChar w:fldCharType="begin"/>
      </w:r>
      <w:r>
        <w:instrText xml:space="preserve"> PAGEREF _Toc531225032 \h </w:instrText>
      </w:r>
      <w:r>
        <w:fldChar w:fldCharType="separate"/>
      </w:r>
      <w:r>
        <w:t>18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eastAsia"/>
          <w:lang w:val="en-US" w:eastAsia="zh-CN"/>
        </w:rPr>
        <w:t>五</w:t>
      </w:r>
      <w:r>
        <w:rPr>
          <w:rFonts w:hint="eastAsia"/>
        </w:rPr>
        <w:t>、消息管理</w:t>
      </w:r>
      <w:r>
        <w:tab/>
      </w:r>
      <w:r>
        <w:fldChar w:fldCharType="begin"/>
      </w:r>
      <w:r>
        <w:instrText xml:space="preserve"> PAGEREF _Toc1209592245 \h </w:instrText>
      </w:r>
      <w:r>
        <w:fldChar w:fldCharType="separate"/>
      </w:r>
      <w:r>
        <w:t>19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1、站内信</w:t>
      </w:r>
      <w:r>
        <w:tab/>
      </w:r>
      <w:r>
        <w:fldChar w:fldCharType="begin"/>
      </w:r>
      <w:r>
        <w:instrText xml:space="preserve"> PAGEREF _Toc1536659213 \h </w:instrText>
      </w:r>
      <w:r>
        <w:fldChar w:fldCharType="separate"/>
      </w:r>
      <w:r>
        <w:t>19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2、公告管理</w:t>
      </w:r>
      <w:r>
        <w:tab/>
      </w:r>
      <w:r>
        <w:fldChar w:fldCharType="begin"/>
      </w:r>
      <w:r>
        <w:instrText xml:space="preserve"> PAGEREF _Toc993054069 \h </w:instrText>
      </w:r>
      <w:r>
        <w:fldChar w:fldCharType="separate"/>
      </w:r>
      <w:r>
        <w:t>19</w:t>
      </w:r>
      <w:r>
        <w:fldChar w:fldCharType="end"/>
      </w:r>
    </w:p>
    <w:p>
      <w:pPr>
        <w:ind w:firstLine="2100" w:firstLineChars="1000"/>
        <w:jc w:val="left"/>
        <w:rPr>
          <w:rFonts w:hint="default" w:ascii="宋体" w:hAnsi="宋体" w:eastAsia="宋体"/>
          <w:b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fldChar w:fldCharType="end"/>
      </w:r>
    </w:p>
    <w:p>
      <w:pPr>
        <w:ind w:firstLine="2108" w:firstLineChars="1000"/>
        <w:rPr>
          <w:rFonts w:hint="eastAsia" w:ascii="宋体" w:hAnsi="宋体"/>
          <w:b/>
          <w:szCs w:val="30"/>
        </w:rPr>
      </w:pPr>
    </w:p>
    <w:p>
      <w:pPr>
        <w:pStyle w:val="2"/>
        <w:numPr>
          <w:ilvl w:val="0"/>
          <w:numId w:val="1"/>
        </w:numPr>
        <w:spacing w:before="0" w:after="0" w:line="360" w:lineRule="auto"/>
      </w:pPr>
      <w:bookmarkStart w:id="2" w:name="_Toc14559"/>
      <w:bookmarkStart w:id="3" w:name="_Toc1543723785"/>
      <w:r>
        <w:rPr>
          <w:rFonts w:hint="eastAsia"/>
        </w:rPr>
        <w:t>系统登录</w:t>
      </w:r>
      <w:bookmarkEnd w:id="0"/>
      <w:bookmarkEnd w:id="2"/>
      <w:bookmarkEnd w:id="3"/>
    </w:p>
    <w:p>
      <w:pPr>
        <w:rPr>
          <w:rFonts w:hint="eastAsia" w:ascii="宋体" w:hAnsi="宋体" w:cs="宋体"/>
          <w:color w:val="000000"/>
        </w:rPr>
      </w:pPr>
      <w:r>
        <w:rPr>
          <w:rFonts w:hint="eastAsia" w:ascii="宋体" w:hAnsi="宋体" w:cs="宋体"/>
        </w:rPr>
        <w:t>打开网址https://vgms.fanyu.com/，选择学校“</w:t>
      </w:r>
      <w:r>
        <w:rPr>
          <w:rFonts w:hint="eastAsia" w:ascii="宋体" w:hAnsi="宋体" w:cs="宋体"/>
          <w:lang w:val="en-US" w:eastAsia="zh-CN"/>
        </w:rPr>
        <w:t>承德医学院</w:t>
      </w:r>
      <w:r>
        <w:rPr>
          <w:rFonts w:hint="eastAsia" w:ascii="宋体" w:hAnsi="宋体" w:cs="宋体"/>
        </w:rPr>
        <w:t>”，输入账号和密码（</w:t>
      </w:r>
      <w:r>
        <w:rPr>
          <w:rFonts w:hint="eastAsia" w:ascii="宋体" w:hAnsi="宋体" w:cs="宋体"/>
          <w:color w:val="FF0000"/>
        </w:rPr>
        <w:t>账号为学号/工号，初始密码：以学校通知为准）</w:t>
      </w:r>
      <w:r>
        <w:rPr>
          <w:rFonts w:hint="eastAsia" w:ascii="宋体" w:hAnsi="宋体" w:cs="宋体"/>
          <w:color w:val="000000"/>
        </w:rPr>
        <w:t>，点击登录即可。</w:t>
      </w:r>
    </w:p>
    <w:p>
      <w:r>
        <w:drawing>
          <wp:inline distT="0" distB="0" distL="114300" distR="114300">
            <wp:extent cx="5264785" cy="2598420"/>
            <wp:effectExtent l="0" t="0" r="18415" b="17780"/>
            <wp:docPr id="2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hint="eastAsia" w:ascii="宋体" w:hAnsi="宋体" w:cs="宋体"/>
          <w:color w:val="FF0000"/>
        </w:rPr>
      </w:pPr>
      <w:r>
        <w:rPr>
          <w:rFonts w:hint="eastAsia" w:ascii="宋体" w:hAnsi="宋体" w:cs="宋体"/>
          <w:color w:val="FF0000"/>
        </w:rPr>
        <w:t>注意：</w:t>
      </w:r>
      <w:r>
        <w:rPr>
          <w:rFonts w:hint="eastAsia" w:ascii="宋体" w:hAnsi="宋体" w:cs="宋体"/>
          <w:color w:val="FF0000"/>
          <w:lang w:eastAsia="zh-CN"/>
        </w:rPr>
        <w:t>如果</w:t>
      </w:r>
      <w:r>
        <w:rPr>
          <w:rFonts w:hint="eastAsia" w:ascii="宋体" w:hAnsi="宋体" w:cs="宋体"/>
          <w:color w:val="FF0000"/>
        </w:rPr>
        <w:t>学生</w:t>
      </w:r>
      <w:r>
        <w:rPr>
          <w:rFonts w:hint="eastAsia" w:ascii="宋体" w:hAnsi="宋体" w:cs="宋体"/>
          <w:color w:val="FF0000"/>
          <w:lang w:eastAsia="zh-CN"/>
        </w:rPr>
        <w:t>角色</w:t>
      </w:r>
      <w:r>
        <w:rPr>
          <w:rFonts w:hint="eastAsia" w:ascii="宋体" w:hAnsi="宋体" w:cs="宋体"/>
          <w:color w:val="FF0000"/>
        </w:rPr>
        <w:t>是双学位，还需要选择一次组织</w:t>
      </w:r>
      <w:r>
        <w:rPr>
          <w:rFonts w:hint="eastAsia" w:ascii="宋体" w:hAnsi="宋体" w:cs="宋体"/>
          <w:color w:val="FF0000"/>
          <w:lang w:eastAsia="zh-CN"/>
        </w:rPr>
        <w:t>；如果教师是多角色，还需要选择一次角色；</w:t>
      </w:r>
    </w:p>
    <w:p>
      <w:pPr>
        <w:jc w:val="left"/>
        <w:rPr>
          <w:rFonts w:hint="eastAsia"/>
        </w:rPr>
      </w:pPr>
      <w:r>
        <w:drawing>
          <wp:inline distT="0" distB="0" distL="114300" distR="114300">
            <wp:extent cx="5268595" cy="2616835"/>
            <wp:effectExtent l="0" t="0" r="14605" b="24765"/>
            <wp:docPr id="3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1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spacing w:before="0" w:after="0" w:line="360" w:lineRule="auto"/>
        <w:rPr>
          <w:rFonts w:hint="eastAsia"/>
        </w:rPr>
      </w:pPr>
      <w:bookmarkStart w:id="4" w:name="_Toc21120"/>
      <w:bookmarkStart w:id="5" w:name="_Toc1615715088"/>
      <w:bookmarkStart w:id="6" w:name="_Toc23876"/>
      <w:r>
        <w:rPr>
          <w:rFonts w:hint="eastAsia"/>
        </w:rPr>
        <w:t>个人</w:t>
      </w:r>
      <w:bookmarkEnd w:id="4"/>
      <w:r>
        <w:rPr>
          <w:rFonts w:hint="eastAsia"/>
        </w:rPr>
        <w:t>设置</w:t>
      </w:r>
      <w:bookmarkEnd w:id="5"/>
      <w:bookmarkEnd w:id="6"/>
    </w:p>
    <w:p>
      <w:pPr>
        <w:pStyle w:val="3"/>
      </w:pPr>
      <w:bookmarkStart w:id="7" w:name="_Toc392767701"/>
      <w:bookmarkStart w:id="8" w:name="_Toc3167"/>
      <w:r>
        <w:rPr>
          <w:rFonts w:hint="eastAsia"/>
        </w:rPr>
        <w:t>1、个人信息</w:t>
      </w:r>
      <w:bookmarkEnd w:id="7"/>
      <w:bookmarkEnd w:id="8"/>
    </w:p>
    <w:p>
      <w:r>
        <w:rPr>
          <w:rFonts w:hint="eastAsia"/>
        </w:rPr>
        <w:t>第一步：点击左侧菜单进入“个人设置——个人信息”，这里可以填写自己的个人信息、电子签名等。</w:t>
      </w:r>
    </w:p>
    <w:p>
      <w:r>
        <w:drawing>
          <wp:inline distT="0" distB="0" distL="114300" distR="114300">
            <wp:extent cx="5269230" cy="2503805"/>
            <wp:effectExtent l="0" t="0" r="13970" b="10795"/>
            <wp:docPr id="7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03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第二歩：所有内容填写无误后，点击“提交”按钮。</w:t>
      </w:r>
    </w:p>
    <w:p>
      <w:pPr>
        <w:pStyle w:val="3"/>
        <w:rPr>
          <w:rFonts w:hint="eastAsia"/>
        </w:rPr>
      </w:pPr>
      <w:bookmarkStart w:id="9" w:name="_Toc2029503476"/>
      <w:bookmarkStart w:id="10" w:name="_Toc20940"/>
      <w:r>
        <w:rPr>
          <w:rFonts w:hint="eastAsia"/>
        </w:rPr>
        <w:t>2、安全中心</w:t>
      </w:r>
      <w:bookmarkEnd w:id="9"/>
      <w:bookmarkEnd w:id="10"/>
    </w:p>
    <w:p>
      <w:pPr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第一步：点击左侧菜单进入“个人设置——安全中心”。</w:t>
      </w:r>
    </w:p>
    <w:p>
      <w:pPr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第二步：可根据自己需求在“个人设置-安全中心”中进行绑定安全邮箱、绑定手机号、绑定微信、密码修改等操作。绑定后，可用于找回密码或系统登录。</w:t>
      </w:r>
    </w:p>
    <w:p>
      <w:r>
        <w:drawing>
          <wp:inline distT="0" distB="0" distL="114300" distR="114300">
            <wp:extent cx="5264785" cy="2598420"/>
            <wp:effectExtent l="0" t="0" r="18415" b="17780"/>
            <wp:docPr id="8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注意：绑定邮箱后，如忘记密码可以通过邮箱重置密码。绑定手机号后可以通过手机号重置密码。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绑定微信后，可以通过微信扫码登陆和使用“维普毕设”小程序进行手机端使用。</w:t>
      </w:r>
    </w:p>
    <w:p>
      <w:pPr>
        <w:jc w:val="center"/>
      </w:pPr>
      <w:r>
        <w:drawing>
          <wp:inline distT="0" distB="0" distL="114300" distR="114300">
            <wp:extent cx="2438400" cy="2675255"/>
            <wp:effectExtent l="0" t="0" r="0" b="17145"/>
            <wp:docPr id="4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2675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 w:eastAsia="宋体"/>
          <w:b/>
          <w:bCs/>
          <w:color w:val="FF0000"/>
          <w:lang w:val="en-US" w:eastAsia="zh-CN"/>
        </w:rPr>
        <w:drawing>
          <wp:inline distT="0" distB="0" distL="114300" distR="114300">
            <wp:extent cx="2533015" cy="5483225"/>
            <wp:effectExtent l="0" t="0" r="6985" b="3175"/>
            <wp:docPr id="50" name="图片 3" descr="3bb2d43583dec0a8ce6ce2f6d7bdc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3" descr="3bb2d43583dec0a8ce6ce2f6d7bdc9a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33015" cy="548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b/>
          <w:bCs/>
          <w:color w:val="FF0000"/>
          <w:lang w:val="en-US" w:eastAsia="zh-CN"/>
        </w:rPr>
        <w:drawing>
          <wp:inline distT="0" distB="0" distL="114300" distR="114300">
            <wp:extent cx="2540000" cy="5151120"/>
            <wp:effectExtent l="0" t="0" r="0" b="5080"/>
            <wp:docPr id="49" name="图片 4" descr="a339853be15ebdc76a0b60553e854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" descr="a339853be15ebdc76a0b60553e8542f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40000" cy="515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>
      <w:pPr>
        <w:pStyle w:val="2"/>
        <w:numPr>
          <w:ilvl w:val="0"/>
          <w:numId w:val="1"/>
        </w:numPr>
        <w:spacing w:before="0" w:after="0" w:line="360" w:lineRule="auto"/>
        <w:rPr>
          <w:rFonts w:hint="eastAsia" w:ascii="Calibri" w:hAnsi="Calibri" w:eastAsia="宋体" w:cs="Times New Roman"/>
          <w:lang w:val="en-US" w:eastAsia="zh-CN"/>
        </w:rPr>
      </w:pPr>
      <w:bookmarkStart w:id="11" w:name="_Toc6721"/>
      <w:bookmarkStart w:id="12" w:name="_Toc25080"/>
      <w:bookmarkStart w:id="13" w:name="_Toc1382155831"/>
      <w:r>
        <w:rPr>
          <w:rFonts w:hint="eastAsia" w:ascii="Calibri" w:hAnsi="Calibri" w:eastAsia="宋体" w:cs="Times New Roman"/>
          <w:lang w:val="en-US" w:eastAsia="zh-CN"/>
        </w:rPr>
        <w:t>系统主流程及操作方法</w:t>
      </w:r>
      <w:bookmarkEnd w:id="11"/>
      <w:bookmarkEnd w:id="12"/>
      <w:bookmarkEnd w:id="13"/>
      <w:r>
        <w:rPr>
          <w:rFonts w:hint="eastAsia" w:ascii="Calibri" w:hAnsi="Calibri" w:eastAsia="宋体" w:cs="Times New Roman"/>
          <w:lang w:val="en-US" w:eastAsia="zh-CN"/>
        </w:rPr>
        <w:t xml:space="preserve"> </w:t>
      </w:r>
    </w:p>
    <w:p>
      <w:pPr>
        <w:spacing w:line="276" w:lineRule="auto"/>
        <w:rPr>
          <w:rFonts w:hint="eastAsia"/>
          <w:lang w:val="en-US" w:eastAsia="zh-CN"/>
        </w:rPr>
      </w:pPr>
    </w:p>
    <w:p>
      <w:pPr>
        <w:pStyle w:val="2"/>
        <w:jc w:val="left"/>
      </w:pPr>
      <w:bookmarkStart w:id="14" w:name="_Toc562442018"/>
      <w:r>
        <w:rPr>
          <w:u w:color="auto"/>
        </w:rPr>
        <w:t>1.选题管理</w:t>
      </w:r>
      <w:bookmarkEnd w:id="14"/>
    </w:p>
    <w:p>
      <w:pPr>
        <w:pStyle w:val="3"/>
        <w:jc w:val="left"/>
      </w:pPr>
      <w:bookmarkStart w:id="15" w:name="_Toc1887466079"/>
      <w:r>
        <w:rPr>
          <w:u w:color="auto"/>
        </w:rPr>
        <w:t>1.1课题</w:t>
      </w:r>
      <w:bookmarkEnd w:id="15"/>
    </w:p>
    <w:p>
      <w:pPr>
        <w:pStyle w:val="4"/>
        <w:jc w:val="left"/>
      </w:pPr>
      <w:bookmarkStart w:id="16" w:name="_Toc13956269"/>
      <w:r>
        <w:rPr>
          <w:u w:color="auto"/>
        </w:rPr>
        <w:t>1.1.1申报课题</w:t>
      </w:r>
      <w:bookmarkEnd w:id="16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第1步：用户点击左边菜单栏“选题管理”——选择“课题”，进入“申报课题”页面，在此点击“新增”即可进入申报课题详情页面——在弹窗中根据提示填写申报课题详细内容；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第2步：填写完成后点击“提交”或“暂存”。提交即完成申报；暂存并未进入下一节点，可以再次编辑修改。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47700"/>
            <wp:effectExtent l="0" t="0" r="9525" b="0"/>
            <wp:docPr id="900086112" name="Drawing 1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0086112" name="Drawing 1" descr="Generated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248025"/>
            <wp:effectExtent l="0" t="0" r="9525" b="9525"/>
            <wp:docPr id="426441054" name="Drawing 2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6441054" name="Drawing 2" descr="Generated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48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314700"/>
            <wp:effectExtent l="0" t="0" r="9525" b="0"/>
            <wp:docPr id="2127399212" name="Drawing 3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7399212" name="Drawing 3" descr="Generated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jc w:val="left"/>
      </w:pPr>
      <w:bookmarkStart w:id="17" w:name="_Toc487295560"/>
      <w:r>
        <w:rPr>
          <w:u w:color="auto"/>
        </w:rPr>
        <w:t>1.2选题</w:t>
      </w:r>
      <w:bookmarkEnd w:id="17"/>
    </w:p>
    <w:p>
      <w:pPr>
        <w:pStyle w:val="4"/>
        <w:jc w:val="left"/>
      </w:pPr>
      <w:bookmarkStart w:id="18" w:name="_Toc1621330909"/>
      <w:r>
        <w:rPr>
          <w:u w:color="auto"/>
        </w:rPr>
        <w:t>1.2.1审核选题</w:t>
      </w:r>
      <w:bookmarkEnd w:id="18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点击左侧菜单进入“选题管理”—“选题”—“审核选题”页面。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点击页面“审核”按钮即可跳转审核详情界面——选择通过或不通过，填写审核意见——点击“确定”。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76275"/>
            <wp:effectExtent l="0" t="0" r="9525" b="9525"/>
            <wp:docPr id="4" name="Drawing 4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Drawing 4" descr="Generated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619375"/>
            <wp:effectExtent l="0" t="0" r="9525" b="9525"/>
            <wp:docPr id="5" name="Drawing 5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rawing 5" descr="Generated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276600"/>
            <wp:effectExtent l="0" t="0" r="9525" b="0"/>
            <wp:docPr id="6" name="Drawing 6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rawing 6" descr="Generated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jc w:val="left"/>
      </w:pPr>
      <w:bookmarkStart w:id="19" w:name="_Toc288590780"/>
      <w:r>
        <w:rPr>
          <w:u w:color="auto"/>
        </w:rPr>
        <w:t>1.3课题信息变更</w:t>
      </w:r>
      <w:bookmarkEnd w:id="19"/>
    </w:p>
    <w:p>
      <w:pPr>
        <w:pStyle w:val="4"/>
        <w:jc w:val="left"/>
      </w:pPr>
      <w:bookmarkStart w:id="20" w:name="_Toc1327164534"/>
      <w:r>
        <w:rPr>
          <w:u w:color="auto"/>
        </w:rPr>
        <w:t>1.3.1审核课题信息变更</w:t>
      </w:r>
      <w:bookmarkEnd w:id="20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选择左边菜单栏“选题管理”，点击“课题信息变更”，审核课题信息变更.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点击页面“审核”按钮即可跳转审核详情界面，选择通过或不通过，填写审核意见后点击“确定”。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38175"/>
            <wp:effectExtent l="0" t="0" r="9525" b="9525"/>
            <wp:docPr id="106302637" name="Drawing 7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302637" name="Drawing 7" descr="Generated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590800"/>
            <wp:effectExtent l="0" t="0" r="9525" b="0"/>
            <wp:docPr id="850106890" name="Drawing 8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0106890" name="Drawing 8" descr="Generated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400425"/>
            <wp:effectExtent l="0" t="0" r="9525" b="9525"/>
            <wp:docPr id="9" name="Drawing 9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rawing 9" descr="Generated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40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jc w:val="left"/>
      </w:pPr>
      <w:bookmarkStart w:id="21" w:name="_Toc1889165196"/>
      <w:r>
        <w:rPr>
          <w:u w:color="auto"/>
        </w:rPr>
        <w:t>2.过程管理</w:t>
      </w:r>
      <w:bookmarkEnd w:id="21"/>
    </w:p>
    <w:p>
      <w:pPr>
        <w:pStyle w:val="3"/>
        <w:jc w:val="left"/>
      </w:pPr>
      <w:bookmarkStart w:id="22" w:name="_Toc653728277"/>
      <w:r>
        <w:rPr>
          <w:u w:color="auto"/>
        </w:rPr>
        <w:t>2.1开题报告</w:t>
      </w:r>
      <w:bookmarkEnd w:id="22"/>
    </w:p>
    <w:p>
      <w:pPr>
        <w:pStyle w:val="4"/>
        <w:jc w:val="left"/>
      </w:pPr>
      <w:bookmarkStart w:id="23" w:name="_Toc684813487"/>
      <w:r>
        <w:rPr>
          <w:u w:color="auto"/>
        </w:rPr>
        <w:t>2.1.1审核开题报告</w:t>
      </w:r>
      <w:bookmarkEnd w:id="23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点击左侧菜单进入“过程管理”—“开题报告”—“审核开题报告”页面。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点击“审核”按钮，进入审核详情页面，可查看填写的开题报告信息，并进行审核意见以及审核通过与不通过的选择后，点击“确定”审核完成。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09600"/>
            <wp:effectExtent l="0" t="0" r="9525" b="0"/>
            <wp:docPr id="10" name="Drawing 10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Drawing 10" descr="Generated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590800"/>
            <wp:effectExtent l="0" t="0" r="9525" b="0"/>
            <wp:docPr id="11" name="Drawing 11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Drawing 11" descr="Generated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05150"/>
            <wp:effectExtent l="0" t="0" r="9525" b="0"/>
            <wp:docPr id="12" name="Drawing 12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Drawing 12" descr="Generated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jc w:val="left"/>
      </w:pPr>
      <w:bookmarkStart w:id="24" w:name="_Toc1295411736"/>
      <w:r>
        <w:rPr>
          <w:u w:color="auto"/>
        </w:rPr>
        <w:t>2.2初稿</w:t>
      </w:r>
      <w:bookmarkEnd w:id="24"/>
    </w:p>
    <w:p>
      <w:pPr>
        <w:pStyle w:val="4"/>
        <w:jc w:val="left"/>
      </w:pPr>
      <w:bookmarkStart w:id="25" w:name="_Toc795833666"/>
      <w:r>
        <w:rPr>
          <w:u w:color="auto"/>
        </w:rPr>
        <w:t>2.2.1审核初稿</w:t>
      </w:r>
      <w:bookmarkEnd w:id="25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点击左侧菜单进入“过程管理”—“初稿”—“审核初稿”页面。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“审核”按钮，在弹出页面中，可查看稿件信息，点击页面的“预览”按钮，可在线预览稿件，点击页面的“下载”按钮可下载的稿件，点击“批注”可对稿件进行在线批注。并进行审核意见以及审核通过与否的选择后，点击“确定”审核完成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09600"/>
            <wp:effectExtent l="0" t="0" r="9525" b="0"/>
            <wp:docPr id="13" name="Drawing 13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Drawing 13" descr="Generated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552700"/>
            <wp:effectExtent l="0" t="0" r="9525" b="0"/>
            <wp:docPr id="14" name="Drawing 14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Drawing 14" descr="Generated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352800"/>
            <wp:effectExtent l="0" t="0" r="9525" b="0"/>
            <wp:docPr id="15" name="Drawing 15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Drawing 15" descr="Generated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jc w:val="left"/>
      </w:pPr>
      <w:bookmarkStart w:id="26" w:name="_Toc1048270946"/>
      <w:r>
        <w:rPr>
          <w:u w:color="auto"/>
        </w:rPr>
        <w:t>2.3定稿</w:t>
      </w:r>
      <w:bookmarkEnd w:id="26"/>
    </w:p>
    <w:p>
      <w:pPr>
        <w:pStyle w:val="4"/>
        <w:jc w:val="left"/>
        <w:rPr>
          <w:u w:color="auto"/>
        </w:rPr>
      </w:pPr>
      <w:bookmarkStart w:id="27" w:name="_Toc333949434"/>
      <w:r>
        <w:rPr>
          <w:u w:color="auto"/>
        </w:rPr>
        <w:t>2.3.1审核定稿</w:t>
      </w:r>
      <w:bookmarkEnd w:id="27"/>
    </w:p>
    <w:p>
      <w:pPr>
        <w:keepLines/>
        <w:ind w:firstLineChars="200"/>
        <w:jc w:val="left"/>
        <w:rPr>
          <w:rFonts w:hint="eastAsia" w:ascii="宋体" w:hAnsi="宋体" w:eastAsia="宋体" w:cs="宋体"/>
          <w:sz w:val="21"/>
          <w:u w:color="auto"/>
          <w:lang w:val="en-US" w:eastAsia="zh-CN"/>
        </w:rPr>
      </w:pPr>
      <w:r>
        <w:rPr>
          <w:rFonts w:hint="eastAsia" w:ascii="宋体" w:hAnsi="宋体" w:eastAsia="宋体" w:cs="宋体"/>
          <w:sz w:val="21"/>
          <w:u w:color="auto"/>
          <w:lang w:val="en-US" w:eastAsia="zh-CN"/>
        </w:rPr>
        <w:t>指导老师在提交检测前点击操作栏里面的查看按钮，查看学生提交的稿件是否是要检测的稿件，如果不是</w:t>
      </w:r>
      <w:r>
        <w:rPr>
          <w:rFonts w:hint="eastAsia" w:ascii="宋体" w:hAnsi="宋体" w:cs="宋体"/>
          <w:sz w:val="21"/>
          <w:u w:color="auto"/>
          <w:lang w:val="en-US" w:eastAsia="zh-CN"/>
        </w:rPr>
        <w:t>，点</w:t>
      </w:r>
      <w:bookmarkStart w:id="61" w:name="_GoBack"/>
      <w:bookmarkEnd w:id="61"/>
      <w:r>
        <w:rPr>
          <w:rFonts w:hint="eastAsia" w:ascii="宋体" w:hAnsi="宋体" w:eastAsia="宋体" w:cs="宋体"/>
          <w:sz w:val="21"/>
          <w:u w:color="auto"/>
          <w:lang w:val="en-US" w:eastAsia="zh-CN"/>
        </w:rPr>
        <w:t>击审核按钮，选择审核不通过，退回到学生重新提交稿件。如果是，页面退出后，选择需要检测的课题，点击列表上方的提交检测按钮，检测完成后，查看检测结果，点击审核按钮，进行审核通过操作。</w:t>
      </w:r>
    </w:p>
    <w:p>
      <w:pPr>
        <w:keepLines/>
        <w:ind w:firstLine="420" w:firstLineChars="200"/>
        <w:jc w:val="left"/>
        <w:rPr>
          <w:rFonts w:ascii="宋体" w:hAnsi="宋体" w:eastAsia="宋体" w:cs="宋体"/>
          <w:sz w:val="21"/>
          <w:u w:color="auto"/>
        </w:rPr>
      </w:pPr>
      <w:r>
        <w:drawing>
          <wp:inline distT="0" distB="0" distL="114300" distR="114300">
            <wp:extent cx="5272405" cy="2389505"/>
            <wp:effectExtent l="0" t="0" r="10795" b="23495"/>
            <wp:docPr id="2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389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点击左侧菜单进入“过程管理”—“定稿”—“审核定稿”页面。</w:t>
      </w:r>
    </w:p>
    <w:p/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“审核”按钮，在弹出页面中，可查看稿件信息，点击页面的“预览”按钮，可在线预览稿件，点击页面的“下载”按钮可下载的稿件，点击“批注”可对稿件进行在线批注。并进行审核意见以及审核通过与否的选择后，点击“确定”审核完成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28650"/>
            <wp:effectExtent l="0" t="0" r="9525" b="0"/>
            <wp:docPr id="16" name="Drawing 16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rawing 16" descr="Generated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571750"/>
            <wp:effectExtent l="0" t="0" r="9525" b="0"/>
            <wp:docPr id="17" name="Drawing 17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Drawing 17" descr="Generated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333750"/>
            <wp:effectExtent l="0" t="0" r="9525" b="0"/>
            <wp:docPr id="18" name="Drawing 18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Drawing 18" descr="Generated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jc w:val="left"/>
      </w:pPr>
      <w:bookmarkStart w:id="28" w:name="_Toc1313367627"/>
      <w:r>
        <w:rPr>
          <w:u w:color="auto"/>
        </w:rPr>
        <w:t>2.4指导日志</w:t>
      </w:r>
      <w:bookmarkEnd w:id="28"/>
    </w:p>
    <w:p>
      <w:pPr>
        <w:pStyle w:val="4"/>
        <w:jc w:val="left"/>
      </w:pPr>
      <w:bookmarkStart w:id="29" w:name="_Toc1932783123"/>
      <w:r>
        <w:rPr>
          <w:u w:color="auto"/>
        </w:rPr>
        <w:t>2.4.1审核指导日志</w:t>
      </w:r>
      <w:bookmarkEnd w:id="29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点击左侧菜单进入“过程管理”—“指导日志”—“审核指导日志”页面。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点击“审核”按钮，在弹出页面中，可查看指导日志信息，并进行审核意见以及审核通过与否的选择后，点击“确定”审核完成。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66750"/>
            <wp:effectExtent l="0" t="0" r="9525" b="0"/>
            <wp:docPr id="19" name="Drawing 19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Drawing 19" descr="Generated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619375"/>
            <wp:effectExtent l="0" t="0" r="9525" b="9525"/>
            <wp:docPr id="20" name="Drawing 20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rawing 20" descr="Generated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jc w:val="left"/>
      </w:pPr>
      <w:bookmarkStart w:id="30" w:name="_Toc1448303739"/>
      <w:r>
        <w:rPr>
          <w:u w:color="auto"/>
        </w:rPr>
        <w:t>3.评分管理</w:t>
      </w:r>
      <w:bookmarkEnd w:id="30"/>
    </w:p>
    <w:p>
      <w:pPr>
        <w:pStyle w:val="3"/>
        <w:jc w:val="left"/>
      </w:pPr>
      <w:bookmarkStart w:id="31" w:name="_Toc2061286275"/>
      <w:r>
        <w:rPr>
          <w:u w:color="auto"/>
        </w:rPr>
        <w:t>3.1指导教师评分</w:t>
      </w:r>
      <w:bookmarkEnd w:id="31"/>
    </w:p>
    <w:p>
      <w:pPr>
        <w:pStyle w:val="4"/>
        <w:jc w:val="left"/>
      </w:pPr>
      <w:bookmarkStart w:id="32" w:name="_Toc832230521"/>
      <w:r>
        <w:rPr>
          <w:u w:color="auto"/>
        </w:rPr>
        <w:t>3.1.1评分</w:t>
      </w:r>
      <w:bookmarkEnd w:id="32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点击左侧菜单栏“评分管理”—“评分”页面。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点击“评分”按钮，在弹出页面中对学生的稿件进行评分，填写分数及评阅意见，最后点击“确定”或“暂存”即可。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752475"/>
            <wp:effectExtent l="0" t="0" r="9525" b="9525"/>
            <wp:docPr id="21" name="Drawing 21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Drawing 21" descr="Generated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619375"/>
            <wp:effectExtent l="0" t="0" r="9525" b="9525"/>
            <wp:docPr id="22" name="Drawing 22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Drawing 22" descr="Generated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286125"/>
            <wp:effectExtent l="0" t="0" r="9525" b="9525"/>
            <wp:docPr id="23" name="Drawing 23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Drawing 23" descr="Generated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jc w:val="left"/>
      </w:pPr>
      <w:bookmarkStart w:id="33" w:name="_Toc737373536"/>
      <w:r>
        <w:rPr>
          <w:u w:color="auto"/>
        </w:rPr>
        <w:t>4.最终稿</w:t>
      </w:r>
      <w:bookmarkEnd w:id="33"/>
    </w:p>
    <w:p>
      <w:pPr>
        <w:pStyle w:val="3"/>
        <w:jc w:val="left"/>
      </w:pPr>
      <w:bookmarkStart w:id="34" w:name="_Toc2056376362"/>
      <w:r>
        <w:rPr>
          <w:u w:color="auto"/>
        </w:rPr>
        <w:t>4.1最终稿</w:t>
      </w:r>
      <w:bookmarkEnd w:id="34"/>
    </w:p>
    <w:p>
      <w:pPr>
        <w:pStyle w:val="4"/>
        <w:jc w:val="left"/>
        <w:rPr>
          <w:u w:color="auto"/>
        </w:rPr>
      </w:pPr>
      <w:bookmarkStart w:id="35" w:name="_Toc2063184963"/>
      <w:r>
        <w:rPr>
          <w:u w:color="auto"/>
        </w:rPr>
        <w:t>4.1.1审核最终稿</w:t>
      </w:r>
      <w:bookmarkEnd w:id="35"/>
    </w:p>
    <w:p>
      <w:pPr>
        <w:keepLines/>
        <w:ind w:firstLine="420" w:firstLineChars="200"/>
        <w:jc w:val="left"/>
        <w:rPr>
          <w:rFonts w:ascii="宋体" w:hAnsi="宋体" w:eastAsia="宋体" w:cs="宋体"/>
          <w:sz w:val="21"/>
          <w:u w:color="auto"/>
        </w:rPr>
      </w:pPr>
      <w:r>
        <w:rPr>
          <w:rFonts w:ascii="宋体" w:hAnsi="宋体" w:eastAsia="宋体" w:cs="宋体"/>
          <w:sz w:val="21"/>
          <w:u w:color="auto"/>
        </w:rPr>
        <w:t>点击左侧菜单栏“最终稿”—“最终稿”页面。</w:t>
      </w:r>
    </w:p>
    <w:p>
      <w:pPr>
        <w:keepLines/>
        <w:ind w:firstLineChars="200"/>
        <w:jc w:val="left"/>
        <w:rPr>
          <w:rFonts w:hint="eastAsia" w:ascii="宋体" w:hAnsi="宋体" w:eastAsia="宋体" w:cs="宋体"/>
          <w:sz w:val="21"/>
          <w:u w:color="auto"/>
          <w:lang w:val="en-US" w:eastAsia="zh-CN"/>
        </w:rPr>
      </w:pPr>
      <w:r>
        <w:rPr>
          <w:rFonts w:hint="eastAsia" w:ascii="宋体" w:hAnsi="宋体" w:eastAsia="宋体" w:cs="宋体"/>
          <w:sz w:val="21"/>
          <w:u w:color="auto"/>
          <w:lang w:val="en-US" w:eastAsia="zh-CN"/>
        </w:rPr>
        <w:t>指导老师在提交检测前点击操作栏里面的查看按钮，查看学生提交的稿件是否是要检测的稿件，如果不是击审核按钮，选择审核不通过，退回到学生重新提交稿件。如果是，页面退出后，选择需要检测的课题，点击列表上方的提交检测按钮，检测完成后，查看检测结果，点击审核按钮，进行审核通过操作。</w:t>
      </w:r>
      <w:r>
        <w:rPr>
          <w:rFonts w:hint="eastAsia" w:ascii="宋体" w:hAnsi="宋体" w:cs="宋体"/>
          <w:sz w:val="21"/>
          <w:u w:color="auto"/>
          <w:lang w:val="en-US" w:eastAsia="zh-CN"/>
        </w:rPr>
        <w:t>、</w:t>
      </w:r>
    </w:p>
    <w:p>
      <w:pPr>
        <w:keepLines/>
        <w:ind w:firstLine="420" w:firstLineChars="200"/>
        <w:jc w:val="left"/>
        <w:rPr>
          <w:rFonts w:ascii="宋体" w:hAnsi="宋体" w:eastAsia="宋体" w:cs="宋体"/>
          <w:sz w:val="21"/>
          <w:u w:color="auto"/>
        </w:rPr>
      </w:pPr>
      <w:r>
        <w:drawing>
          <wp:inline distT="0" distB="0" distL="114300" distR="114300">
            <wp:extent cx="5262880" cy="2172970"/>
            <wp:effectExtent l="0" t="0" r="20320" b="11430"/>
            <wp:docPr id="2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1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172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both"/>
      </w:pPr>
      <w:r>
        <w:rPr>
          <w:rFonts w:hint="eastAsia" w:ascii="微软雅黑" w:hAnsi="微软雅黑" w:eastAsia="微软雅黑"/>
          <w:b/>
          <w:bCs/>
          <w:color w:val="FF0000"/>
          <w:lang w:val="en-US" w:eastAsia="zh-CN"/>
        </w:rPr>
        <w:t>注意：审核论文最终稿时，要核对学生填写的全国抽检平台抽检字段是否准确。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点击左侧菜单栏“最终稿”—“最终稿”页面。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“审核”按钮，在弹出页面中，可查看稿件信息，点击页面的“预览“按钮，可在线预览稿件，点击页面的“下载”按钮可下载稿件，点击”批注”可对稿件进行在线批注。并进行审核意见以及审核通过与否的选择后，点击“确定”审核完成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38175"/>
            <wp:effectExtent l="0" t="0" r="9525" b="9525"/>
            <wp:docPr id="24" name="Drawing 24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Drawing 24" descr="Generated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609850"/>
            <wp:effectExtent l="0" t="0" r="9525" b="0"/>
            <wp:docPr id="25" name="Drawing 25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Drawing 25" descr="Generated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095625"/>
            <wp:effectExtent l="0" t="0" r="9525" b="9525"/>
            <wp:docPr id="26" name="Drawing 26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Drawing 26" descr="Generated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before="240"/>
        <w:rPr>
          <w:rFonts w:hint="eastAsia" w:ascii="Calibri" w:hAnsi="Calibri" w:eastAsia="宋体" w:cs="Times New Roman"/>
          <w:lang w:val="en-US" w:eastAsia="zh-CN"/>
        </w:rPr>
      </w:pPr>
      <w:bookmarkStart w:id="36" w:name="_Toc12738"/>
      <w:bookmarkStart w:id="37" w:name="_Toc8366"/>
      <w:bookmarkStart w:id="38" w:name="_Toc531225032"/>
      <w:r>
        <w:rPr>
          <w:rFonts w:hint="eastAsia" w:cs="Times New Roman"/>
          <w:lang w:val="en-US" w:eastAsia="zh-CN"/>
        </w:rPr>
        <w:t>四</w:t>
      </w:r>
      <w:r>
        <w:rPr>
          <w:rFonts w:hint="eastAsia" w:ascii="Calibri" w:hAnsi="Calibri" w:eastAsia="宋体" w:cs="Times New Roman"/>
          <w:lang w:val="en-US" w:eastAsia="zh-CN"/>
        </w:rPr>
        <w:t>、下载中心</w:t>
      </w:r>
      <w:bookmarkEnd w:id="36"/>
      <w:bookmarkEnd w:id="37"/>
      <w:bookmarkEnd w:id="38"/>
    </w:p>
    <w:p>
      <w:pPr>
        <w:ind w:firstLine="420" w:firstLineChars="200"/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点击“下载中心”—“文件下载”，选中数据，点击”</w:t>
      </w:r>
      <w:r>
        <w:rPr>
          <w:rFonts w:hint="eastAsia" w:ascii="宋体" w:hAnsi="宋体" w:cs="宋体"/>
          <w:lang w:eastAsia="zh-CN"/>
        </w:rPr>
        <w:t>归档材料下载</w:t>
      </w:r>
      <w:r>
        <w:rPr>
          <w:rFonts w:hint="eastAsia" w:ascii="宋体" w:hAnsi="宋体" w:cs="宋体"/>
        </w:rPr>
        <w:t>“批量下载各个流程上传的文件。</w:t>
      </w:r>
    </w:p>
    <w:p>
      <w:r>
        <w:drawing>
          <wp:inline distT="0" distB="0" distL="114300" distR="114300">
            <wp:extent cx="5259070" cy="1564005"/>
            <wp:effectExtent l="0" t="0" r="24130" b="10795"/>
            <wp:docPr id="58720208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20208" name="图片 32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156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pStyle w:val="2"/>
        <w:spacing w:before="240"/>
      </w:pPr>
      <w:bookmarkStart w:id="39" w:name="_Toc23080"/>
      <w:bookmarkStart w:id="40" w:name="_Toc32586"/>
      <w:bookmarkStart w:id="41" w:name="_Toc1209592245"/>
      <w:r>
        <w:rPr>
          <w:rFonts w:hint="eastAsia"/>
          <w:lang w:val="en-US" w:eastAsia="zh-CN"/>
        </w:rPr>
        <w:t>五</w:t>
      </w:r>
      <w:r>
        <w:rPr>
          <w:rFonts w:hint="eastAsia"/>
        </w:rPr>
        <w:t>、消息管理</w:t>
      </w:r>
      <w:bookmarkEnd w:id="39"/>
      <w:bookmarkEnd w:id="40"/>
      <w:bookmarkEnd w:id="41"/>
    </w:p>
    <w:p>
      <w:pPr>
        <w:pStyle w:val="3"/>
      </w:pPr>
      <w:bookmarkStart w:id="42" w:name="_Toc21967825"/>
      <w:bookmarkStart w:id="43" w:name="_Toc21507034"/>
      <w:bookmarkStart w:id="44" w:name="_Toc21113907"/>
      <w:bookmarkStart w:id="45" w:name="_Toc5161"/>
      <w:bookmarkStart w:id="46" w:name="_Toc13523"/>
      <w:bookmarkStart w:id="47" w:name="_Toc11588"/>
      <w:bookmarkStart w:id="48" w:name="_Toc21506725"/>
      <w:bookmarkStart w:id="49" w:name="_Toc15000"/>
      <w:bookmarkStart w:id="50" w:name="_Toc1740308402_WPSOffice_Level3"/>
      <w:bookmarkStart w:id="51" w:name="_Toc14609"/>
      <w:bookmarkStart w:id="52" w:name="_Toc1536659213"/>
      <w:bookmarkStart w:id="53" w:name="_Toc4888"/>
      <w:bookmarkStart w:id="54" w:name="_Toc19779"/>
      <w:r>
        <w:rPr>
          <w:rFonts w:hint="eastAsia"/>
        </w:rPr>
        <w:t>1</w:t>
      </w:r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/>
        </w:rPr>
        <w:t>、站内信</w:t>
      </w:r>
      <w:bookmarkEnd w:id="49"/>
      <w:bookmarkEnd w:id="50"/>
      <w:bookmarkEnd w:id="51"/>
      <w:bookmarkEnd w:id="52"/>
      <w:bookmarkEnd w:id="53"/>
      <w:bookmarkEnd w:id="54"/>
    </w:p>
    <w:p>
      <w:pPr>
        <w:spacing w:before="156" w:after="156"/>
        <w:ind w:firstLine="480"/>
        <w:jc w:val="left"/>
        <w:rPr>
          <w:rFonts w:ascii="宋体" w:hAnsi="宋体" w:cs="宋体"/>
        </w:rPr>
      </w:pPr>
      <w:r>
        <w:rPr>
          <w:rFonts w:hint="eastAsia" w:ascii="宋体" w:hAnsi="宋体" w:cs="宋体"/>
          <w:color w:val="FF0000"/>
        </w:rPr>
        <w:t>★</w:t>
      </w:r>
      <w:r>
        <w:rPr>
          <w:rFonts w:hint="eastAsia" w:ascii="宋体" w:hAnsi="宋体" w:cs="宋体"/>
          <w:color w:val="303030"/>
        </w:rPr>
        <w:t>第1步：</w:t>
      </w:r>
      <w:r>
        <w:rPr>
          <w:rFonts w:hint="eastAsia" w:ascii="宋体" w:hAnsi="宋体" w:cs="宋体"/>
        </w:rPr>
        <w:t>点击左侧菜单进入“消息管理”—“站内信”。可以进行站内信的查阅与发送。</w:t>
      </w:r>
      <w:r>
        <w:rPr>
          <w:rFonts w:ascii="宋体" w:hAnsi="宋体" w:cs="宋体"/>
        </w:rPr>
        <w:drawing>
          <wp:inline distT="0" distB="0" distL="114300" distR="114300">
            <wp:extent cx="5253990" cy="1426845"/>
            <wp:effectExtent l="0" t="0" r="3810" b="20955"/>
            <wp:docPr id="132398577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3985776" name="图片 6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142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55" w:name="_Toc636040274_WPSOffice_Level3"/>
      <w:bookmarkStart w:id="56" w:name="_Toc10920"/>
      <w:bookmarkStart w:id="57" w:name="_Toc12655"/>
      <w:bookmarkStart w:id="58" w:name="_Toc14049"/>
      <w:bookmarkStart w:id="59" w:name="_Toc23918"/>
      <w:bookmarkStart w:id="60" w:name="_Toc993054069"/>
      <w:r>
        <w:rPr>
          <w:rFonts w:hint="eastAsia"/>
        </w:rPr>
        <w:t>2、公告管理</w:t>
      </w:r>
      <w:bookmarkEnd w:id="55"/>
      <w:bookmarkEnd w:id="56"/>
      <w:bookmarkEnd w:id="57"/>
      <w:bookmarkEnd w:id="58"/>
      <w:bookmarkEnd w:id="59"/>
      <w:bookmarkEnd w:id="60"/>
    </w:p>
    <w:p>
      <w:pPr>
        <w:spacing w:before="120" w:after="120"/>
        <w:ind w:firstLine="480"/>
        <w:rPr>
          <w:rFonts w:hint="eastAsia" w:ascii="宋体" w:hAnsi="宋体" w:cs="宋体"/>
        </w:rPr>
      </w:pPr>
      <w:r>
        <w:rPr>
          <w:rFonts w:hint="eastAsia" w:ascii="宋体" w:hAnsi="宋体" w:cs="宋体"/>
          <w:color w:val="FF0000"/>
        </w:rPr>
        <w:t>★</w:t>
      </w:r>
      <w:r>
        <w:rPr>
          <w:rFonts w:hint="eastAsia" w:ascii="宋体" w:hAnsi="宋体" w:cs="宋体"/>
          <w:color w:val="303030"/>
        </w:rPr>
        <w:t>第1步：</w:t>
      </w:r>
      <w:r>
        <w:rPr>
          <w:rFonts w:hint="eastAsia" w:ascii="宋体" w:hAnsi="宋体" w:cs="宋体"/>
        </w:rPr>
        <w:t>点击左侧菜单进入“消息管理”—“公告管理”。可以查看学校学院发布公告内容。</w:t>
      </w:r>
    </w:p>
    <w:p>
      <w:pPr>
        <w:spacing w:before="120" w:after="120"/>
        <w:rPr>
          <w:rFonts w:ascii="宋体" w:hAnsi="宋体" w:cs="宋体"/>
        </w:rPr>
      </w:pPr>
      <w:r>
        <w:rPr>
          <w:rFonts w:ascii="宋体" w:hAnsi="宋体" w:cs="宋体"/>
        </w:rPr>
        <w:drawing>
          <wp:inline distT="0" distB="0" distL="114300" distR="114300">
            <wp:extent cx="5262245" cy="2000885"/>
            <wp:effectExtent l="0" t="0" r="20955" b="5715"/>
            <wp:docPr id="578819999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8819999" name="图片 23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000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bidi w:val="0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1F9679D"/>
    <w:multiLevelType w:val="multilevel"/>
    <w:tmpl w:val="31F9679D"/>
    <w:lvl w:ilvl="0" w:tentative="0">
      <w:start w:val="1"/>
      <w:numFmt w:val="japaneseCounting"/>
      <w:lvlText w:val="%1、"/>
      <w:lvlJc w:val="left"/>
      <w:pPr>
        <w:ind w:left="1042" w:hanging="90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982" w:hanging="420"/>
      </w:pPr>
    </w:lvl>
    <w:lvl w:ilvl="2" w:tentative="0">
      <w:start w:val="1"/>
      <w:numFmt w:val="lowerRoman"/>
      <w:lvlText w:val="%3."/>
      <w:lvlJc w:val="right"/>
      <w:pPr>
        <w:ind w:left="1402" w:hanging="420"/>
      </w:pPr>
    </w:lvl>
    <w:lvl w:ilvl="3" w:tentative="0">
      <w:start w:val="1"/>
      <w:numFmt w:val="decimal"/>
      <w:lvlText w:val="%4."/>
      <w:lvlJc w:val="left"/>
      <w:pPr>
        <w:ind w:left="1822" w:hanging="420"/>
      </w:pPr>
    </w:lvl>
    <w:lvl w:ilvl="4" w:tentative="0">
      <w:start w:val="1"/>
      <w:numFmt w:val="lowerLetter"/>
      <w:lvlText w:val="%5)"/>
      <w:lvlJc w:val="left"/>
      <w:pPr>
        <w:ind w:left="2242" w:hanging="420"/>
      </w:pPr>
    </w:lvl>
    <w:lvl w:ilvl="5" w:tentative="0">
      <w:start w:val="1"/>
      <w:numFmt w:val="lowerRoman"/>
      <w:lvlText w:val="%6."/>
      <w:lvlJc w:val="right"/>
      <w:pPr>
        <w:ind w:left="2662" w:hanging="420"/>
      </w:pPr>
    </w:lvl>
    <w:lvl w:ilvl="6" w:tentative="0">
      <w:start w:val="1"/>
      <w:numFmt w:val="decimal"/>
      <w:lvlText w:val="%7."/>
      <w:lvlJc w:val="left"/>
      <w:pPr>
        <w:ind w:left="3082" w:hanging="420"/>
      </w:pPr>
    </w:lvl>
    <w:lvl w:ilvl="7" w:tentative="0">
      <w:start w:val="1"/>
      <w:numFmt w:val="lowerLetter"/>
      <w:lvlText w:val="%8)"/>
      <w:lvlJc w:val="left"/>
      <w:pPr>
        <w:ind w:left="3502" w:hanging="420"/>
      </w:pPr>
    </w:lvl>
    <w:lvl w:ilvl="8" w:tentative="0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JlZTk4NDE5N2Y0ODllYTZjYzlhYTYyMDUwZjdlMTUifQ=="/>
  </w:docVars>
  <w:rsids>
    <w:rsidRoot w:val="5FE02B0A"/>
    <w:rsid w:val="00023261"/>
    <w:rsid w:val="000304D9"/>
    <w:rsid w:val="00041EC8"/>
    <w:rsid w:val="0004525E"/>
    <w:rsid w:val="00080EEA"/>
    <w:rsid w:val="000A2742"/>
    <w:rsid w:val="000D3AC7"/>
    <w:rsid w:val="00110281"/>
    <w:rsid w:val="0012640F"/>
    <w:rsid w:val="00134937"/>
    <w:rsid w:val="00164D25"/>
    <w:rsid w:val="00187198"/>
    <w:rsid w:val="001B13DD"/>
    <w:rsid w:val="001B2917"/>
    <w:rsid w:val="00215B72"/>
    <w:rsid w:val="00216D1F"/>
    <w:rsid w:val="00290F07"/>
    <w:rsid w:val="002C6CC8"/>
    <w:rsid w:val="002D20B5"/>
    <w:rsid w:val="002D3640"/>
    <w:rsid w:val="002E6342"/>
    <w:rsid w:val="002F0FB6"/>
    <w:rsid w:val="00321CED"/>
    <w:rsid w:val="00376A1B"/>
    <w:rsid w:val="00383167"/>
    <w:rsid w:val="00390E82"/>
    <w:rsid w:val="003C62A3"/>
    <w:rsid w:val="003D22B5"/>
    <w:rsid w:val="003D4710"/>
    <w:rsid w:val="003D705D"/>
    <w:rsid w:val="003F0796"/>
    <w:rsid w:val="003F75CF"/>
    <w:rsid w:val="0041323F"/>
    <w:rsid w:val="00441424"/>
    <w:rsid w:val="00441C9E"/>
    <w:rsid w:val="00454505"/>
    <w:rsid w:val="00486E97"/>
    <w:rsid w:val="00491A15"/>
    <w:rsid w:val="004952BE"/>
    <w:rsid w:val="004A24DF"/>
    <w:rsid w:val="004A42BE"/>
    <w:rsid w:val="004C5D4B"/>
    <w:rsid w:val="004D3A02"/>
    <w:rsid w:val="004D76B3"/>
    <w:rsid w:val="004E2611"/>
    <w:rsid w:val="004E639E"/>
    <w:rsid w:val="0050291F"/>
    <w:rsid w:val="00511ACF"/>
    <w:rsid w:val="005305D3"/>
    <w:rsid w:val="005501DF"/>
    <w:rsid w:val="00590BBF"/>
    <w:rsid w:val="005B35C4"/>
    <w:rsid w:val="005D3A65"/>
    <w:rsid w:val="005D7489"/>
    <w:rsid w:val="0066524E"/>
    <w:rsid w:val="00682F60"/>
    <w:rsid w:val="006842BB"/>
    <w:rsid w:val="0068767B"/>
    <w:rsid w:val="006F7953"/>
    <w:rsid w:val="00706E2C"/>
    <w:rsid w:val="00716B0A"/>
    <w:rsid w:val="007569B5"/>
    <w:rsid w:val="00762975"/>
    <w:rsid w:val="007751E2"/>
    <w:rsid w:val="00783B6A"/>
    <w:rsid w:val="00795459"/>
    <w:rsid w:val="007A3406"/>
    <w:rsid w:val="007A6906"/>
    <w:rsid w:val="008176BE"/>
    <w:rsid w:val="00832765"/>
    <w:rsid w:val="008352FC"/>
    <w:rsid w:val="0083608A"/>
    <w:rsid w:val="00857F26"/>
    <w:rsid w:val="008747B4"/>
    <w:rsid w:val="00896AD7"/>
    <w:rsid w:val="008B4D48"/>
    <w:rsid w:val="008C3852"/>
    <w:rsid w:val="008E0D78"/>
    <w:rsid w:val="008E7CD3"/>
    <w:rsid w:val="00906D40"/>
    <w:rsid w:val="00926973"/>
    <w:rsid w:val="00935E69"/>
    <w:rsid w:val="00962DD5"/>
    <w:rsid w:val="009666BC"/>
    <w:rsid w:val="00974BBE"/>
    <w:rsid w:val="009D4674"/>
    <w:rsid w:val="009D67F0"/>
    <w:rsid w:val="00A00EAF"/>
    <w:rsid w:val="00A77943"/>
    <w:rsid w:val="00A830CE"/>
    <w:rsid w:val="00A87F74"/>
    <w:rsid w:val="00AA4694"/>
    <w:rsid w:val="00AB3833"/>
    <w:rsid w:val="00AF1DED"/>
    <w:rsid w:val="00B55CCB"/>
    <w:rsid w:val="00B85A72"/>
    <w:rsid w:val="00C52741"/>
    <w:rsid w:val="00CA1238"/>
    <w:rsid w:val="00CB31A7"/>
    <w:rsid w:val="00CD7635"/>
    <w:rsid w:val="00CF2C04"/>
    <w:rsid w:val="00D52373"/>
    <w:rsid w:val="00D6218C"/>
    <w:rsid w:val="00D76EEB"/>
    <w:rsid w:val="00D804E6"/>
    <w:rsid w:val="00D9685B"/>
    <w:rsid w:val="00DC5E6F"/>
    <w:rsid w:val="00DC7FD4"/>
    <w:rsid w:val="00DD481A"/>
    <w:rsid w:val="00E00EA0"/>
    <w:rsid w:val="00E711C9"/>
    <w:rsid w:val="00E86084"/>
    <w:rsid w:val="00EC5FD3"/>
    <w:rsid w:val="00EE7696"/>
    <w:rsid w:val="00F1464A"/>
    <w:rsid w:val="00F62B24"/>
    <w:rsid w:val="00FA1A34"/>
    <w:rsid w:val="00FC2DEB"/>
    <w:rsid w:val="00FF22CE"/>
    <w:rsid w:val="017E0CD4"/>
    <w:rsid w:val="01910A08"/>
    <w:rsid w:val="01973B44"/>
    <w:rsid w:val="01A3073B"/>
    <w:rsid w:val="01AE15BA"/>
    <w:rsid w:val="01AF179F"/>
    <w:rsid w:val="01D32DCE"/>
    <w:rsid w:val="01FD609D"/>
    <w:rsid w:val="02182ED7"/>
    <w:rsid w:val="023C4E17"/>
    <w:rsid w:val="023F2212"/>
    <w:rsid w:val="024141DC"/>
    <w:rsid w:val="02427F54"/>
    <w:rsid w:val="02612B5C"/>
    <w:rsid w:val="02B20C36"/>
    <w:rsid w:val="02E42DB9"/>
    <w:rsid w:val="033E696D"/>
    <w:rsid w:val="034D095E"/>
    <w:rsid w:val="0361440A"/>
    <w:rsid w:val="03B60BF9"/>
    <w:rsid w:val="03C274DB"/>
    <w:rsid w:val="03F82FC0"/>
    <w:rsid w:val="042F62B6"/>
    <w:rsid w:val="044B7594"/>
    <w:rsid w:val="044C6E68"/>
    <w:rsid w:val="047C599F"/>
    <w:rsid w:val="047F0FEB"/>
    <w:rsid w:val="052A53FB"/>
    <w:rsid w:val="05452235"/>
    <w:rsid w:val="05544226"/>
    <w:rsid w:val="06087AF2"/>
    <w:rsid w:val="061B11E8"/>
    <w:rsid w:val="062E0F1B"/>
    <w:rsid w:val="06654211"/>
    <w:rsid w:val="067B1C86"/>
    <w:rsid w:val="06B6300F"/>
    <w:rsid w:val="06BA4485"/>
    <w:rsid w:val="06DE46EF"/>
    <w:rsid w:val="06FC2DC7"/>
    <w:rsid w:val="074A1D85"/>
    <w:rsid w:val="078132CC"/>
    <w:rsid w:val="07866B35"/>
    <w:rsid w:val="07B7538F"/>
    <w:rsid w:val="07D21D7A"/>
    <w:rsid w:val="07FB6BDB"/>
    <w:rsid w:val="08060514"/>
    <w:rsid w:val="08381BDD"/>
    <w:rsid w:val="08624EAC"/>
    <w:rsid w:val="087B5F6E"/>
    <w:rsid w:val="088A7F5F"/>
    <w:rsid w:val="08F875BE"/>
    <w:rsid w:val="091A7535"/>
    <w:rsid w:val="094445B2"/>
    <w:rsid w:val="0969226A"/>
    <w:rsid w:val="09B434E5"/>
    <w:rsid w:val="09B72FD5"/>
    <w:rsid w:val="09DC2A3C"/>
    <w:rsid w:val="09F528BA"/>
    <w:rsid w:val="0A310FDA"/>
    <w:rsid w:val="0A9652E1"/>
    <w:rsid w:val="0AC0235E"/>
    <w:rsid w:val="0B7C44D7"/>
    <w:rsid w:val="0BF16C73"/>
    <w:rsid w:val="0C2B68DC"/>
    <w:rsid w:val="0C825B1D"/>
    <w:rsid w:val="0CDB347F"/>
    <w:rsid w:val="0CE045F1"/>
    <w:rsid w:val="0D240982"/>
    <w:rsid w:val="0D9F26FE"/>
    <w:rsid w:val="0DB241E0"/>
    <w:rsid w:val="0DE14AC5"/>
    <w:rsid w:val="0DFE5677"/>
    <w:rsid w:val="0E0B1B42"/>
    <w:rsid w:val="0EC817E1"/>
    <w:rsid w:val="0EE20AF5"/>
    <w:rsid w:val="0F052A35"/>
    <w:rsid w:val="0F307AB2"/>
    <w:rsid w:val="0F3D21CF"/>
    <w:rsid w:val="0F5D461F"/>
    <w:rsid w:val="0FE16FFE"/>
    <w:rsid w:val="1002449F"/>
    <w:rsid w:val="108C5BB3"/>
    <w:rsid w:val="10B93AD7"/>
    <w:rsid w:val="10BD35C7"/>
    <w:rsid w:val="10F13271"/>
    <w:rsid w:val="11000BEA"/>
    <w:rsid w:val="11186A50"/>
    <w:rsid w:val="11203B56"/>
    <w:rsid w:val="11252F1A"/>
    <w:rsid w:val="112E0021"/>
    <w:rsid w:val="11951E4E"/>
    <w:rsid w:val="11BD75F7"/>
    <w:rsid w:val="11E44B84"/>
    <w:rsid w:val="12323B41"/>
    <w:rsid w:val="12661A3D"/>
    <w:rsid w:val="12802AFE"/>
    <w:rsid w:val="13225964"/>
    <w:rsid w:val="13B30CB1"/>
    <w:rsid w:val="13B62550"/>
    <w:rsid w:val="13C7650B"/>
    <w:rsid w:val="13E26EA1"/>
    <w:rsid w:val="14643D5A"/>
    <w:rsid w:val="14C173FE"/>
    <w:rsid w:val="14C50C9C"/>
    <w:rsid w:val="14C64A14"/>
    <w:rsid w:val="151D2886"/>
    <w:rsid w:val="15B12FCF"/>
    <w:rsid w:val="15C56A7A"/>
    <w:rsid w:val="15FA0CD7"/>
    <w:rsid w:val="169C3C7F"/>
    <w:rsid w:val="169F551D"/>
    <w:rsid w:val="16A11295"/>
    <w:rsid w:val="16F5338F"/>
    <w:rsid w:val="17544559"/>
    <w:rsid w:val="177C13BA"/>
    <w:rsid w:val="17F81389"/>
    <w:rsid w:val="17FF6273"/>
    <w:rsid w:val="18407477"/>
    <w:rsid w:val="18583BD5"/>
    <w:rsid w:val="186D58D3"/>
    <w:rsid w:val="18834126"/>
    <w:rsid w:val="189F1804"/>
    <w:rsid w:val="18A24E51"/>
    <w:rsid w:val="18D314AE"/>
    <w:rsid w:val="18F002B2"/>
    <w:rsid w:val="18FA2EDF"/>
    <w:rsid w:val="19063631"/>
    <w:rsid w:val="191A70DD"/>
    <w:rsid w:val="193957B5"/>
    <w:rsid w:val="193E726F"/>
    <w:rsid w:val="19614D0C"/>
    <w:rsid w:val="19A277FE"/>
    <w:rsid w:val="19B117EF"/>
    <w:rsid w:val="19B337B9"/>
    <w:rsid w:val="19C332D1"/>
    <w:rsid w:val="19C534ED"/>
    <w:rsid w:val="19C77265"/>
    <w:rsid w:val="19F31E08"/>
    <w:rsid w:val="1A6745A4"/>
    <w:rsid w:val="1AAE21D3"/>
    <w:rsid w:val="1AD27C6F"/>
    <w:rsid w:val="1ADA6B24"/>
    <w:rsid w:val="1AF5395E"/>
    <w:rsid w:val="1AFA71C6"/>
    <w:rsid w:val="1B252495"/>
    <w:rsid w:val="1B373F76"/>
    <w:rsid w:val="1B395F40"/>
    <w:rsid w:val="1BAA0BEC"/>
    <w:rsid w:val="1BC25F36"/>
    <w:rsid w:val="1BE22134"/>
    <w:rsid w:val="1C0227D6"/>
    <w:rsid w:val="1C69015F"/>
    <w:rsid w:val="1CD6156D"/>
    <w:rsid w:val="1E032835"/>
    <w:rsid w:val="1E114F52"/>
    <w:rsid w:val="1E2527AC"/>
    <w:rsid w:val="1E8F5E77"/>
    <w:rsid w:val="1EB63404"/>
    <w:rsid w:val="1EBB4EBE"/>
    <w:rsid w:val="1ECB5101"/>
    <w:rsid w:val="1F29296D"/>
    <w:rsid w:val="1F69491A"/>
    <w:rsid w:val="1FC009DE"/>
    <w:rsid w:val="1FE3647B"/>
    <w:rsid w:val="20112FE8"/>
    <w:rsid w:val="20337402"/>
    <w:rsid w:val="20384A18"/>
    <w:rsid w:val="20517888"/>
    <w:rsid w:val="20AC0F62"/>
    <w:rsid w:val="20BE47F2"/>
    <w:rsid w:val="21350F58"/>
    <w:rsid w:val="21731A80"/>
    <w:rsid w:val="21B55BF5"/>
    <w:rsid w:val="21C83B7A"/>
    <w:rsid w:val="2268710B"/>
    <w:rsid w:val="228A7081"/>
    <w:rsid w:val="22BA3F45"/>
    <w:rsid w:val="22CA1B74"/>
    <w:rsid w:val="22D64075"/>
    <w:rsid w:val="22E91FFA"/>
    <w:rsid w:val="235C0A1E"/>
    <w:rsid w:val="236B6EB3"/>
    <w:rsid w:val="23AD1279"/>
    <w:rsid w:val="23B95E70"/>
    <w:rsid w:val="24480FA2"/>
    <w:rsid w:val="2452748C"/>
    <w:rsid w:val="245A2A83"/>
    <w:rsid w:val="246851A0"/>
    <w:rsid w:val="249146F7"/>
    <w:rsid w:val="249917FE"/>
    <w:rsid w:val="24DB0068"/>
    <w:rsid w:val="25302162"/>
    <w:rsid w:val="253357AE"/>
    <w:rsid w:val="258949F8"/>
    <w:rsid w:val="25D80104"/>
    <w:rsid w:val="2628108B"/>
    <w:rsid w:val="26712A32"/>
    <w:rsid w:val="267C13D7"/>
    <w:rsid w:val="26C1503C"/>
    <w:rsid w:val="26F92A28"/>
    <w:rsid w:val="26FE1DEC"/>
    <w:rsid w:val="272F1FA5"/>
    <w:rsid w:val="275F6D2E"/>
    <w:rsid w:val="277125BE"/>
    <w:rsid w:val="279664C8"/>
    <w:rsid w:val="27BF157B"/>
    <w:rsid w:val="27D33279"/>
    <w:rsid w:val="27ED6B9C"/>
    <w:rsid w:val="27F51441"/>
    <w:rsid w:val="28304227"/>
    <w:rsid w:val="283755B5"/>
    <w:rsid w:val="2858591E"/>
    <w:rsid w:val="288400CF"/>
    <w:rsid w:val="28A569C3"/>
    <w:rsid w:val="28CD7CC8"/>
    <w:rsid w:val="28EA087A"/>
    <w:rsid w:val="290F6532"/>
    <w:rsid w:val="291678C1"/>
    <w:rsid w:val="29345F99"/>
    <w:rsid w:val="29543F45"/>
    <w:rsid w:val="296A3769"/>
    <w:rsid w:val="299F1664"/>
    <w:rsid w:val="29E03A2B"/>
    <w:rsid w:val="2A102562"/>
    <w:rsid w:val="2AA64C74"/>
    <w:rsid w:val="2AB56C65"/>
    <w:rsid w:val="2AEB3C5A"/>
    <w:rsid w:val="2AEC6B2B"/>
    <w:rsid w:val="2B011EAB"/>
    <w:rsid w:val="2B193698"/>
    <w:rsid w:val="2B536BAA"/>
    <w:rsid w:val="2B6366C1"/>
    <w:rsid w:val="2B876854"/>
    <w:rsid w:val="2C3562B0"/>
    <w:rsid w:val="2C633EB8"/>
    <w:rsid w:val="2C673F8F"/>
    <w:rsid w:val="2C7E7C57"/>
    <w:rsid w:val="2CCF04B2"/>
    <w:rsid w:val="2D1E0AF2"/>
    <w:rsid w:val="2D256324"/>
    <w:rsid w:val="2D285E15"/>
    <w:rsid w:val="2D652BC5"/>
    <w:rsid w:val="2D9139BA"/>
    <w:rsid w:val="2D9D410D"/>
    <w:rsid w:val="2E1122DB"/>
    <w:rsid w:val="2E3507E9"/>
    <w:rsid w:val="2EB21E3A"/>
    <w:rsid w:val="2EBD433B"/>
    <w:rsid w:val="2F300FB0"/>
    <w:rsid w:val="2F3C7955"/>
    <w:rsid w:val="2F522CD5"/>
    <w:rsid w:val="2F7B66D0"/>
    <w:rsid w:val="2F837A4C"/>
    <w:rsid w:val="2F9A71B5"/>
    <w:rsid w:val="2FDD2EE6"/>
    <w:rsid w:val="2FEF2C1A"/>
    <w:rsid w:val="30406FD1"/>
    <w:rsid w:val="304312C5"/>
    <w:rsid w:val="30C95219"/>
    <w:rsid w:val="30E81B43"/>
    <w:rsid w:val="3135465C"/>
    <w:rsid w:val="313A6116"/>
    <w:rsid w:val="3148438F"/>
    <w:rsid w:val="314E571E"/>
    <w:rsid w:val="31701B38"/>
    <w:rsid w:val="31C003CA"/>
    <w:rsid w:val="320E7B77"/>
    <w:rsid w:val="325F4087"/>
    <w:rsid w:val="32713DBA"/>
    <w:rsid w:val="332B5D17"/>
    <w:rsid w:val="33977850"/>
    <w:rsid w:val="33D740F0"/>
    <w:rsid w:val="342842DC"/>
    <w:rsid w:val="342E1F62"/>
    <w:rsid w:val="344829C9"/>
    <w:rsid w:val="34790D04"/>
    <w:rsid w:val="34AE30A3"/>
    <w:rsid w:val="350E769E"/>
    <w:rsid w:val="3550415A"/>
    <w:rsid w:val="358D2CB9"/>
    <w:rsid w:val="35E548A3"/>
    <w:rsid w:val="35EB79DF"/>
    <w:rsid w:val="35F25212"/>
    <w:rsid w:val="35F92264"/>
    <w:rsid w:val="36317AE8"/>
    <w:rsid w:val="363B0967"/>
    <w:rsid w:val="36996E83"/>
    <w:rsid w:val="36D36DF1"/>
    <w:rsid w:val="36F34D9D"/>
    <w:rsid w:val="37427AD3"/>
    <w:rsid w:val="379C3687"/>
    <w:rsid w:val="38194CD8"/>
    <w:rsid w:val="388C36FB"/>
    <w:rsid w:val="38B60778"/>
    <w:rsid w:val="38BF587F"/>
    <w:rsid w:val="38CC3AF8"/>
    <w:rsid w:val="38FB262F"/>
    <w:rsid w:val="3902576C"/>
    <w:rsid w:val="391D07F7"/>
    <w:rsid w:val="39203E44"/>
    <w:rsid w:val="39534219"/>
    <w:rsid w:val="39663F4D"/>
    <w:rsid w:val="39C46EC5"/>
    <w:rsid w:val="39E11825"/>
    <w:rsid w:val="39FF0CD8"/>
    <w:rsid w:val="3A175247"/>
    <w:rsid w:val="3A2D05C6"/>
    <w:rsid w:val="3A2F07E2"/>
    <w:rsid w:val="3A3000B7"/>
    <w:rsid w:val="3A63223A"/>
    <w:rsid w:val="3A8328DC"/>
    <w:rsid w:val="3A856654"/>
    <w:rsid w:val="3A9C574C"/>
    <w:rsid w:val="3A9E3272"/>
    <w:rsid w:val="3AD76784"/>
    <w:rsid w:val="3ADE5D64"/>
    <w:rsid w:val="3AEA295B"/>
    <w:rsid w:val="3B457B92"/>
    <w:rsid w:val="3B53405D"/>
    <w:rsid w:val="3BAC5E63"/>
    <w:rsid w:val="3BCC2061"/>
    <w:rsid w:val="3BF82E56"/>
    <w:rsid w:val="3BFF41E4"/>
    <w:rsid w:val="3BFF5F92"/>
    <w:rsid w:val="3C526A0A"/>
    <w:rsid w:val="3C5462DE"/>
    <w:rsid w:val="3C577B7C"/>
    <w:rsid w:val="3C7F70D3"/>
    <w:rsid w:val="3CAA4150"/>
    <w:rsid w:val="3CF63839"/>
    <w:rsid w:val="3D12278C"/>
    <w:rsid w:val="3D136199"/>
    <w:rsid w:val="3D6E1622"/>
    <w:rsid w:val="3D711112"/>
    <w:rsid w:val="3D74475E"/>
    <w:rsid w:val="3D9F527F"/>
    <w:rsid w:val="3DB86D41"/>
    <w:rsid w:val="3DEA7081"/>
    <w:rsid w:val="3E154DA9"/>
    <w:rsid w:val="3E546A69"/>
    <w:rsid w:val="3E7E3AE6"/>
    <w:rsid w:val="3EC3774B"/>
    <w:rsid w:val="3ED23E32"/>
    <w:rsid w:val="3EE01103"/>
    <w:rsid w:val="3EE651E8"/>
    <w:rsid w:val="3FC217B1"/>
    <w:rsid w:val="3FE652DA"/>
    <w:rsid w:val="401C35B7"/>
    <w:rsid w:val="403501D5"/>
    <w:rsid w:val="40BE641C"/>
    <w:rsid w:val="40D07EFD"/>
    <w:rsid w:val="41232723"/>
    <w:rsid w:val="41AA4BF2"/>
    <w:rsid w:val="41B255C8"/>
    <w:rsid w:val="41D41C6F"/>
    <w:rsid w:val="42165DE4"/>
    <w:rsid w:val="426B4382"/>
    <w:rsid w:val="426D634C"/>
    <w:rsid w:val="42755200"/>
    <w:rsid w:val="42A81132"/>
    <w:rsid w:val="42C341BE"/>
    <w:rsid w:val="42D00689"/>
    <w:rsid w:val="43192030"/>
    <w:rsid w:val="431F6F1A"/>
    <w:rsid w:val="43B41D58"/>
    <w:rsid w:val="43B9736F"/>
    <w:rsid w:val="43CA332A"/>
    <w:rsid w:val="440E1469"/>
    <w:rsid w:val="441822E7"/>
    <w:rsid w:val="44185E43"/>
    <w:rsid w:val="442E1B0B"/>
    <w:rsid w:val="444E3F5B"/>
    <w:rsid w:val="4464552C"/>
    <w:rsid w:val="446B68BB"/>
    <w:rsid w:val="44A26055"/>
    <w:rsid w:val="44E272A8"/>
    <w:rsid w:val="44EF3FD1"/>
    <w:rsid w:val="457C0654"/>
    <w:rsid w:val="45B55914"/>
    <w:rsid w:val="45C2075D"/>
    <w:rsid w:val="464473C4"/>
    <w:rsid w:val="469D2F78"/>
    <w:rsid w:val="46DA1AD6"/>
    <w:rsid w:val="46FC1A4C"/>
    <w:rsid w:val="47190850"/>
    <w:rsid w:val="47721D0E"/>
    <w:rsid w:val="47BF7590"/>
    <w:rsid w:val="47EF335F"/>
    <w:rsid w:val="487D6BBD"/>
    <w:rsid w:val="490B5F77"/>
    <w:rsid w:val="49736367"/>
    <w:rsid w:val="49C66341"/>
    <w:rsid w:val="49DB1DED"/>
    <w:rsid w:val="49FE5ADB"/>
    <w:rsid w:val="4A0155CC"/>
    <w:rsid w:val="4AA448D5"/>
    <w:rsid w:val="4B1732F9"/>
    <w:rsid w:val="4BA3693A"/>
    <w:rsid w:val="4BC93EC7"/>
    <w:rsid w:val="4BD50ABE"/>
    <w:rsid w:val="4BEA27BB"/>
    <w:rsid w:val="4C147838"/>
    <w:rsid w:val="4C6521D2"/>
    <w:rsid w:val="4C786019"/>
    <w:rsid w:val="4D4E28D6"/>
    <w:rsid w:val="4D722A68"/>
    <w:rsid w:val="4DAF7C6A"/>
    <w:rsid w:val="4E451F2B"/>
    <w:rsid w:val="4E775E5C"/>
    <w:rsid w:val="4E994025"/>
    <w:rsid w:val="4EEF633A"/>
    <w:rsid w:val="4F2E6E63"/>
    <w:rsid w:val="4F322AC9"/>
    <w:rsid w:val="4FA709C3"/>
    <w:rsid w:val="4FD5531F"/>
    <w:rsid w:val="4FDC68BF"/>
    <w:rsid w:val="501F0559"/>
    <w:rsid w:val="50354221"/>
    <w:rsid w:val="5038161B"/>
    <w:rsid w:val="50C01D3C"/>
    <w:rsid w:val="50D8235D"/>
    <w:rsid w:val="51423EF1"/>
    <w:rsid w:val="51450494"/>
    <w:rsid w:val="51491D32"/>
    <w:rsid w:val="5156444F"/>
    <w:rsid w:val="51AC0513"/>
    <w:rsid w:val="51C413B8"/>
    <w:rsid w:val="51ED5BEA"/>
    <w:rsid w:val="52021EE1"/>
    <w:rsid w:val="522E0F28"/>
    <w:rsid w:val="522E717A"/>
    <w:rsid w:val="52416EAD"/>
    <w:rsid w:val="52A336C4"/>
    <w:rsid w:val="52F67C97"/>
    <w:rsid w:val="53146370"/>
    <w:rsid w:val="53486019"/>
    <w:rsid w:val="5349426B"/>
    <w:rsid w:val="5380105E"/>
    <w:rsid w:val="538F3C48"/>
    <w:rsid w:val="539574B0"/>
    <w:rsid w:val="53A771E4"/>
    <w:rsid w:val="53CC6C4A"/>
    <w:rsid w:val="53EE096F"/>
    <w:rsid w:val="53FF492A"/>
    <w:rsid w:val="544762D1"/>
    <w:rsid w:val="54505185"/>
    <w:rsid w:val="545253A1"/>
    <w:rsid w:val="5495703C"/>
    <w:rsid w:val="54992FD0"/>
    <w:rsid w:val="54D9161F"/>
    <w:rsid w:val="54F46459"/>
    <w:rsid w:val="552C5BF2"/>
    <w:rsid w:val="552C79A0"/>
    <w:rsid w:val="55425416"/>
    <w:rsid w:val="55570796"/>
    <w:rsid w:val="55807CEC"/>
    <w:rsid w:val="55B87486"/>
    <w:rsid w:val="561C5C67"/>
    <w:rsid w:val="5621327D"/>
    <w:rsid w:val="56486A5C"/>
    <w:rsid w:val="56867584"/>
    <w:rsid w:val="56A17F1A"/>
    <w:rsid w:val="57560D05"/>
    <w:rsid w:val="57684EDC"/>
    <w:rsid w:val="57727B09"/>
    <w:rsid w:val="578A30A4"/>
    <w:rsid w:val="57A557E8"/>
    <w:rsid w:val="58044C05"/>
    <w:rsid w:val="580C3AB9"/>
    <w:rsid w:val="58177813"/>
    <w:rsid w:val="582E3A30"/>
    <w:rsid w:val="584E5E80"/>
    <w:rsid w:val="58977827"/>
    <w:rsid w:val="58D97E3F"/>
    <w:rsid w:val="59034EBC"/>
    <w:rsid w:val="591946E0"/>
    <w:rsid w:val="593E4146"/>
    <w:rsid w:val="59417793"/>
    <w:rsid w:val="59441031"/>
    <w:rsid w:val="594B0611"/>
    <w:rsid w:val="59561490"/>
    <w:rsid w:val="599124C8"/>
    <w:rsid w:val="59C06909"/>
    <w:rsid w:val="59E20F76"/>
    <w:rsid w:val="59FA62BF"/>
    <w:rsid w:val="5AB75F5E"/>
    <w:rsid w:val="5B953DC6"/>
    <w:rsid w:val="5C076A71"/>
    <w:rsid w:val="5C2C297C"/>
    <w:rsid w:val="5C45759A"/>
    <w:rsid w:val="5C593045"/>
    <w:rsid w:val="5C700ABB"/>
    <w:rsid w:val="5CDF354A"/>
    <w:rsid w:val="5D0C00B7"/>
    <w:rsid w:val="5D83481E"/>
    <w:rsid w:val="5D9663F4"/>
    <w:rsid w:val="5DBB3FB7"/>
    <w:rsid w:val="5E135BA1"/>
    <w:rsid w:val="5E1E4546"/>
    <w:rsid w:val="5E2356B9"/>
    <w:rsid w:val="5E5D6E1D"/>
    <w:rsid w:val="5E710B1A"/>
    <w:rsid w:val="5EBF3633"/>
    <w:rsid w:val="5EFE2B01"/>
    <w:rsid w:val="5F1576F7"/>
    <w:rsid w:val="5FC81A4F"/>
    <w:rsid w:val="5FE02B0A"/>
    <w:rsid w:val="5FE1701C"/>
    <w:rsid w:val="5FEB66AA"/>
    <w:rsid w:val="5FFB68ED"/>
    <w:rsid w:val="60340051"/>
    <w:rsid w:val="60453C66"/>
    <w:rsid w:val="607246D5"/>
    <w:rsid w:val="60793CB6"/>
    <w:rsid w:val="614E0C9F"/>
    <w:rsid w:val="616E1341"/>
    <w:rsid w:val="61B50D1E"/>
    <w:rsid w:val="623B56C7"/>
    <w:rsid w:val="628958C8"/>
    <w:rsid w:val="62D358FF"/>
    <w:rsid w:val="63611187"/>
    <w:rsid w:val="63ED29F1"/>
    <w:rsid w:val="63F9195E"/>
    <w:rsid w:val="642F4DB7"/>
    <w:rsid w:val="647E7AED"/>
    <w:rsid w:val="64AA6B34"/>
    <w:rsid w:val="64AD2180"/>
    <w:rsid w:val="64E060B2"/>
    <w:rsid w:val="65077AE2"/>
    <w:rsid w:val="651B60C2"/>
    <w:rsid w:val="656A1E1F"/>
    <w:rsid w:val="65775586"/>
    <w:rsid w:val="65FC6F1B"/>
    <w:rsid w:val="65FF8136"/>
    <w:rsid w:val="66546D57"/>
    <w:rsid w:val="66903B07"/>
    <w:rsid w:val="66AF21DF"/>
    <w:rsid w:val="66BD3B89"/>
    <w:rsid w:val="66FD65EC"/>
    <w:rsid w:val="671D539B"/>
    <w:rsid w:val="67931B01"/>
    <w:rsid w:val="679F04A6"/>
    <w:rsid w:val="67AE693B"/>
    <w:rsid w:val="67C1666E"/>
    <w:rsid w:val="67FF0F45"/>
    <w:rsid w:val="682E35D8"/>
    <w:rsid w:val="683706DE"/>
    <w:rsid w:val="68541290"/>
    <w:rsid w:val="689E250C"/>
    <w:rsid w:val="68C06926"/>
    <w:rsid w:val="69252C2D"/>
    <w:rsid w:val="69603C65"/>
    <w:rsid w:val="69796AD5"/>
    <w:rsid w:val="69961435"/>
    <w:rsid w:val="69A55B1C"/>
    <w:rsid w:val="69D41F5D"/>
    <w:rsid w:val="69DB32EB"/>
    <w:rsid w:val="6A0942FC"/>
    <w:rsid w:val="6A1642C0"/>
    <w:rsid w:val="6A1D4C73"/>
    <w:rsid w:val="6A4E1D0F"/>
    <w:rsid w:val="6ACD532A"/>
    <w:rsid w:val="6AEA7C8A"/>
    <w:rsid w:val="6B1E7934"/>
    <w:rsid w:val="6B347157"/>
    <w:rsid w:val="6B874A80"/>
    <w:rsid w:val="6B881251"/>
    <w:rsid w:val="6BB362CE"/>
    <w:rsid w:val="6BF07522"/>
    <w:rsid w:val="6C264CF2"/>
    <w:rsid w:val="6C3513D9"/>
    <w:rsid w:val="6C6121CE"/>
    <w:rsid w:val="6D3E42BD"/>
    <w:rsid w:val="6D940381"/>
    <w:rsid w:val="6DBB590E"/>
    <w:rsid w:val="6DE50BDD"/>
    <w:rsid w:val="6DE62B47"/>
    <w:rsid w:val="6E182D60"/>
    <w:rsid w:val="6E3D6323"/>
    <w:rsid w:val="6E4F6056"/>
    <w:rsid w:val="6EC32CCC"/>
    <w:rsid w:val="6ECE1671"/>
    <w:rsid w:val="6EE175F6"/>
    <w:rsid w:val="6F6822D7"/>
    <w:rsid w:val="6F833042"/>
    <w:rsid w:val="6F9E7295"/>
    <w:rsid w:val="6FA80114"/>
    <w:rsid w:val="6FC0720B"/>
    <w:rsid w:val="704B11CB"/>
    <w:rsid w:val="705C7751"/>
    <w:rsid w:val="70B310AB"/>
    <w:rsid w:val="70FA499F"/>
    <w:rsid w:val="711517D9"/>
    <w:rsid w:val="712776CC"/>
    <w:rsid w:val="71341C5F"/>
    <w:rsid w:val="715B3690"/>
    <w:rsid w:val="71BC7EA6"/>
    <w:rsid w:val="71F15DA2"/>
    <w:rsid w:val="7218332F"/>
    <w:rsid w:val="72421725"/>
    <w:rsid w:val="726F4F19"/>
    <w:rsid w:val="72BD7A32"/>
    <w:rsid w:val="72D8486C"/>
    <w:rsid w:val="72EE22E1"/>
    <w:rsid w:val="72F13B80"/>
    <w:rsid w:val="72FA5CB5"/>
    <w:rsid w:val="72FF004B"/>
    <w:rsid w:val="735465E8"/>
    <w:rsid w:val="73993FFB"/>
    <w:rsid w:val="73C60B68"/>
    <w:rsid w:val="742F4960"/>
    <w:rsid w:val="745368A0"/>
    <w:rsid w:val="74620891"/>
    <w:rsid w:val="74F160B9"/>
    <w:rsid w:val="758E56B6"/>
    <w:rsid w:val="75C31803"/>
    <w:rsid w:val="75D51537"/>
    <w:rsid w:val="75DC4673"/>
    <w:rsid w:val="762BE09C"/>
    <w:rsid w:val="76360227"/>
    <w:rsid w:val="76465F91"/>
    <w:rsid w:val="766C3C49"/>
    <w:rsid w:val="76854D0B"/>
    <w:rsid w:val="768A0573"/>
    <w:rsid w:val="76F9438B"/>
    <w:rsid w:val="772207AC"/>
    <w:rsid w:val="7730111A"/>
    <w:rsid w:val="773C7ABF"/>
    <w:rsid w:val="775F555C"/>
    <w:rsid w:val="7772528F"/>
    <w:rsid w:val="77901BB9"/>
    <w:rsid w:val="77A43A6B"/>
    <w:rsid w:val="77E617D9"/>
    <w:rsid w:val="77EFFCF2"/>
    <w:rsid w:val="780D4FB8"/>
    <w:rsid w:val="782347DB"/>
    <w:rsid w:val="78280044"/>
    <w:rsid w:val="78680440"/>
    <w:rsid w:val="789E20B4"/>
    <w:rsid w:val="78A0407E"/>
    <w:rsid w:val="78A7540C"/>
    <w:rsid w:val="78AD18CD"/>
    <w:rsid w:val="78DD498A"/>
    <w:rsid w:val="78E71CAD"/>
    <w:rsid w:val="7924080B"/>
    <w:rsid w:val="796926C2"/>
    <w:rsid w:val="797C218B"/>
    <w:rsid w:val="79A731EA"/>
    <w:rsid w:val="79EB1329"/>
    <w:rsid w:val="7A123DB6"/>
    <w:rsid w:val="7A6B246A"/>
    <w:rsid w:val="7A8552D9"/>
    <w:rsid w:val="7ACC2F08"/>
    <w:rsid w:val="7B114DBF"/>
    <w:rsid w:val="7B4E6013"/>
    <w:rsid w:val="7B580C40"/>
    <w:rsid w:val="7B7A2964"/>
    <w:rsid w:val="7B803CF3"/>
    <w:rsid w:val="7BEECF46"/>
    <w:rsid w:val="7BF704C2"/>
    <w:rsid w:val="7C0B0F2B"/>
    <w:rsid w:val="7C945CA8"/>
    <w:rsid w:val="7CBA20AA"/>
    <w:rsid w:val="7D884CF3"/>
    <w:rsid w:val="7DC2087C"/>
    <w:rsid w:val="7E4454AB"/>
    <w:rsid w:val="7EA128FE"/>
    <w:rsid w:val="7EFF776B"/>
    <w:rsid w:val="7F337154"/>
    <w:rsid w:val="7FA97CBC"/>
    <w:rsid w:val="7FED152D"/>
    <w:rsid w:val="7FFD7E66"/>
    <w:rsid w:val="CE171D70"/>
    <w:rsid w:val="D7CDF66E"/>
    <w:rsid w:val="E7CA49CF"/>
    <w:rsid w:val="EF4F1258"/>
    <w:rsid w:val="F7AF7F2A"/>
    <w:rsid w:val="F9FFD381"/>
    <w:rsid w:val="FDFED87C"/>
    <w:rsid w:val="FE7BB6CB"/>
    <w:rsid w:val="FEBB4D4C"/>
    <w:rsid w:val="FEFB5316"/>
    <w:rsid w:val="FF1FD1FC"/>
    <w:rsid w:val="FFC43C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outlineLvl w:val="1"/>
    </w:pPr>
    <w:rPr>
      <w:rFonts w:ascii="Cambria" w:hAnsi="Cambria" w:eastAsia="宋体" w:cs="Times New Roman"/>
      <w:b/>
      <w:bCs/>
      <w:color w:val="000000"/>
      <w:sz w:val="32"/>
      <w:szCs w:val="32"/>
    </w:rPr>
  </w:style>
  <w:style w:type="paragraph" w:styleId="4">
    <w:name w:val="heading 3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3">
    <w:name w:val="Default Paragraph Font"/>
    <w:autoRedefine/>
    <w:semiHidden/>
    <w:qFormat/>
    <w:uiPriority w:val="0"/>
  </w:style>
  <w:style w:type="table" w:default="1" w:styleId="1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link w:val="15"/>
    <w:autoRedefine/>
    <w:qFormat/>
    <w:uiPriority w:val="0"/>
    <w:rPr>
      <w:rFonts w:ascii="宋体"/>
      <w:sz w:val="18"/>
      <w:szCs w:val="18"/>
    </w:rPr>
  </w:style>
  <w:style w:type="paragraph" w:styleId="6">
    <w:name w:val="toc 3"/>
    <w:basedOn w:val="1"/>
    <w:next w:val="1"/>
    <w:autoRedefine/>
    <w:qFormat/>
    <w:uiPriority w:val="0"/>
    <w:pPr>
      <w:ind w:left="480"/>
    </w:pPr>
  </w:style>
  <w:style w:type="paragraph" w:styleId="7">
    <w:name w:val="footer"/>
    <w:basedOn w:val="1"/>
    <w:link w:val="16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autoRedefine/>
    <w:qFormat/>
    <w:uiPriority w:val="39"/>
  </w:style>
  <w:style w:type="paragraph" w:styleId="10">
    <w:name w:val="toc 2"/>
    <w:basedOn w:val="1"/>
    <w:next w:val="1"/>
    <w:autoRedefine/>
    <w:qFormat/>
    <w:uiPriority w:val="39"/>
    <w:pPr>
      <w:ind w:left="420" w:leftChars="200"/>
    </w:pPr>
  </w:style>
  <w:style w:type="paragraph" w:styleId="11">
    <w:name w:val="Title"/>
    <w:basedOn w:val="1"/>
    <w:next w:val="1"/>
    <w:autoRedefine/>
    <w:qFormat/>
    <w:uiPriority w:val="0"/>
    <w:pPr>
      <w:spacing w:before="240" w:after="60"/>
      <w:jc w:val="center"/>
      <w:outlineLvl w:val="0"/>
    </w:pPr>
    <w:rPr>
      <w:rFonts w:ascii="Calibri Light" w:hAnsi="Calibri Light" w:eastAsia="宋体" w:cs="Times New Roman"/>
      <w:b/>
      <w:bCs/>
      <w:sz w:val="32"/>
      <w:szCs w:val="32"/>
    </w:rPr>
  </w:style>
  <w:style w:type="character" w:styleId="14">
    <w:name w:val="Hyperlink"/>
    <w:basedOn w:val="13"/>
    <w:autoRedefine/>
    <w:unhideWhenUsed/>
    <w:qFormat/>
    <w:uiPriority w:val="99"/>
    <w:rPr>
      <w:color w:val="0000FF"/>
      <w:u w:val="single"/>
    </w:rPr>
  </w:style>
  <w:style w:type="character" w:customStyle="1" w:styleId="15">
    <w:name w:val="文档结构图 Char"/>
    <w:basedOn w:val="13"/>
    <w:link w:val="5"/>
    <w:autoRedefine/>
    <w:qFormat/>
    <w:uiPriority w:val="0"/>
    <w:rPr>
      <w:rFonts w:ascii="宋体"/>
      <w:kern w:val="2"/>
      <w:sz w:val="18"/>
      <w:szCs w:val="18"/>
    </w:rPr>
  </w:style>
  <w:style w:type="character" w:customStyle="1" w:styleId="16">
    <w:name w:val="页脚 Char"/>
    <w:basedOn w:val="13"/>
    <w:link w:val="7"/>
    <w:autoRedefine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7">
    <w:name w:val="页眉 Char"/>
    <w:basedOn w:val="13"/>
    <w:link w:val="8"/>
    <w:autoRedefine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8">
    <w:name w:val="WPSOffice手动目录 1"/>
    <w:autoRedefine/>
    <w:qFormat/>
    <w:uiPriority w:val="0"/>
    <w:rPr>
      <w:rFonts w:ascii="Calibri" w:hAnsi="Calibri" w:eastAsia="宋体" w:cs="Times New Roman"/>
      <w:lang w:val="en-US" w:eastAsia="zh-CN" w:bidi="ar-SA"/>
    </w:rPr>
  </w:style>
  <w:style w:type="paragraph" w:customStyle="1" w:styleId="19">
    <w:name w:val="WPSOffice手动目录 2"/>
    <w:autoRedefine/>
    <w:qFormat/>
    <w:uiPriority w:val="0"/>
    <w:pPr>
      <w:ind w:leftChars="200"/>
    </w:pPr>
    <w:rPr>
      <w:rFonts w:ascii="Calibri" w:hAnsi="Calibri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6" Type="http://schemas.openxmlformats.org/officeDocument/2006/relationships/fontTable" Target="fontTable.xml"/><Relationship Id="rId45" Type="http://schemas.openxmlformats.org/officeDocument/2006/relationships/numbering" Target="numbering.xml"/><Relationship Id="rId44" Type="http://schemas.openxmlformats.org/officeDocument/2006/relationships/image" Target="media/image39.png"/><Relationship Id="rId43" Type="http://schemas.openxmlformats.org/officeDocument/2006/relationships/image" Target="media/image38.png"/><Relationship Id="rId42" Type="http://schemas.openxmlformats.org/officeDocument/2006/relationships/image" Target="media/image37.png"/><Relationship Id="rId41" Type="http://schemas.openxmlformats.org/officeDocument/2006/relationships/image" Target="media/image36.png"/><Relationship Id="rId40" Type="http://schemas.openxmlformats.org/officeDocument/2006/relationships/image" Target="media/image35.png"/><Relationship Id="rId4" Type="http://schemas.openxmlformats.org/officeDocument/2006/relationships/endnotes" Target="endnotes.xml"/><Relationship Id="rId39" Type="http://schemas.openxmlformats.org/officeDocument/2006/relationships/image" Target="media/image34.png"/><Relationship Id="rId38" Type="http://schemas.openxmlformats.org/officeDocument/2006/relationships/image" Target="media/image33.png"/><Relationship Id="rId37" Type="http://schemas.openxmlformats.org/officeDocument/2006/relationships/image" Target="media/image32.png"/><Relationship Id="rId36" Type="http://schemas.openxmlformats.org/officeDocument/2006/relationships/image" Target="media/image31.png"/><Relationship Id="rId35" Type="http://schemas.openxmlformats.org/officeDocument/2006/relationships/image" Target="media/image30.png"/><Relationship Id="rId34" Type="http://schemas.openxmlformats.org/officeDocument/2006/relationships/image" Target="media/image29.png"/><Relationship Id="rId33" Type="http://schemas.openxmlformats.org/officeDocument/2006/relationships/image" Target="media/image28.png"/><Relationship Id="rId32" Type="http://schemas.openxmlformats.org/officeDocument/2006/relationships/image" Target="media/image27.png"/><Relationship Id="rId31" Type="http://schemas.openxmlformats.org/officeDocument/2006/relationships/image" Target="media/image26.png"/><Relationship Id="rId30" Type="http://schemas.openxmlformats.org/officeDocument/2006/relationships/image" Target="media/image25.png"/><Relationship Id="rId3" Type="http://schemas.openxmlformats.org/officeDocument/2006/relationships/footnotes" Target="footnotes.xml"/><Relationship Id="rId29" Type="http://schemas.openxmlformats.org/officeDocument/2006/relationships/image" Target="media/image24.png"/><Relationship Id="rId28" Type="http://schemas.openxmlformats.org/officeDocument/2006/relationships/image" Target="media/image23.png"/><Relationship Id="rId27" Type="http://schemas.openxmlformats.org/officeDocument/2006/relationships/image" Target="media/image22.png"/><Relationship Id="rId26" Type="http://schemas.openxmlformats.org/officeDocument/2006/relationships/image" Target="media/image21.png"/><Relationship Id="rId25" Type="http://schemas.openxmlformats.org/officeDocument/2006/relationships/image" Target="media/image20.png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2243</Words>
  <Characters>2315</Characters>
  <Lines>28</Lines>
  <Paragraphs>8</Paragraphs>
  <TotalTime>3</TotalTime>
  <ScaleCrop>false</ScaleCrop>
  <LinksUpToDate>false</LinksUpToDate>
  <CharactersWithSpaces>2353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2021-12-10T13:21:00Z</dcterms:created>
  <dc:creator>Administrator</dc:creator>
  <cp:lastModifiedBy>PC</cp:lastModifiedBy>
  <dcterms:modified xsi:type="dcterms:W3CDTF">2024-05-16T09:07:36Z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19458F01ECA3F2725F7B5C65FB2EE914_43</vt:lpwstr>
  </property>
  <property fmtid="{D5CDD505-2E9C-101B-9397-08002B2CF9AE}" pid="3" name="KSOProductBuildVer">
    <vt:lpwstr>2052-12.1.0.16417</vt:lpwstr>
  </property>
</Properties>
</file>